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C98" w14:textId="4239E089" w:rsidR="003C1473" w:rsidRPr="00333F3F" w:rsidRDefault="00311703" w:rsidP="00463B43">
      <w:pPr>
        <w:pStyle w:val="DoctitleAgency"/>
      </w:pPr>
      <w:bookmarkStart w:id="0" w:name="DocSubtitle"/>
      <w:r>
        <w:t>O</w:t>
      </w:r>
      <w:r w:rsidRPr="00333F3F">
        <w:t xml:space="preserve">ppdatering av produktinformasjon </w:t>
      </w:r>
      <w:r>
        <w:t xml:space="preserve">- </w:t>
      </w:r>
      <w:r w:rsidR="00DE4C8A" w:rsidRPr="00333F3F">
        <w:t>Anbefaling fra PRAC etter signalutredning</w:t>
      </w:r>
    </w:p>
    <w:bookmarkEnd w:id="0"/>
    <w:p w14:paraId="0DB1CC99" w14:textId="17163EC4" w:rsidR="00BA4CDA" w:rsidRPr="00DE4C8A" w:rsidRDefault="00DE4C8A" w:rsidP="00C47EBD">
      <w:pPr>
        <w:pStyle w:val="DocsubtitleAgency"/>
      </w:pPr>
      <w:r w:rsidRPr="00DE4C8A">
        <w:t xml:space="preserve">Vedtatt </w:t>
      </w:r>
      <w:r w:rsidR="003A4761">
        <w:t>13</w:t>
      </w:r>
      <w:r w:rsidRPr="00DE4C8A">
        <w:t>.</w:t>
      </w:r>
      <w:r w:rsidR="003A4761">
        <w:t>-16.</w:t>
      </w:r>
      <w:r w:rsidR="004733DA" w:rsidRPr="00DE4C8A">
        <w:t xml:space="preserve"> </w:t>
      </w:r>
      <w:r w:rsidR="005A6B19">
        <w:t>januar</w:t>
      </w:r>
      <w:r w:rsidR="001503FB" w:rsidRPr="00DE4C8A">
        <w:t xml:space="preserve"> 20</w:t>
      </w:r>
      <w:r w:rsidR="00BF34EB" w:rsidRPr="00DE4C8A">
        <w:t>2</w:t>
      </w:r>
      <w:r w:rsidR="003075BD">
        <w:t>5</w:t>
      </w:r>
      <w:r w:rsidR="009829D4" w:rsidRPr="00DE4C8A">
        <w:t xml:space="preserve"> PRAC</w:t>
      </w:r>
    </w:p>
    <w:p w14:paraId="33BC1F6A" w14:textId="77777777" w:rsidR="000B5A28" w:rsidRPr="005E308E" w:rsidRDefault="000B5A28" w:rsidP="000B5A28">
      <w:pPr>
        <w:pStyle w:val="BodytextAgency"/>
      </w:pPr>
      <w:r w:rsidRPr="005E308E">
        <w:t xml:space="preserve">Ordlyden i produktinformasjonen i dette dokumentet er hentet fra dokumentet ‘PRAC </w:t>
      </w:r>
      <w:proofErr w:type="spellStart"/>
      <w:r w:rsidRPr="005E308E">
        <w:t>recommendations</w:t>
      </w:r>
      <w:proofErr w:type="spellEnd"/>
      <w:r w:rsidRPr="005E308E">
        <w:t xml:space="preserve"> </w:t>
      </w:r>
      <w:proofErr w:type="spellStart"/>
      <w:r w:rsidRPr="005E308E">
        <w:t>on</w:t>
      </w:r>
      <w:proofErr w:type="spellEnd"/>
      <w:r w:rsidRPr="005E308E">
        <w:t xml:space="preserve"> signals’, som inneholder hele PRAC anbefalingsteksten til oppdateringen. Det dokumentet inneholder i tillegg en generell veiledning om hvordan signalene skal håndteres. Dokumentet finnes </w:t>
      </w:r>
      <w:r>
        <w:t xml:space="preserve">på nettsiden </w:t>
      </w:r>
      <w:hyperlink r:id="rId10" w:history="1">
        <w:r w:rsidRPr="005E308E">
          <w:rPr>
            <w:rStyle w:val="Hyperkobling"/>
            <w:bCs/>
            <w:iCs/>
          </w:rPr>
          <w:t xml:space="preserve">PRAC </w:t>
        </w:r>
        <w:proofErr w:type="spellStart"/>
        <w:r w:rsidRPr="005E308E">
          <w:rPr>
            <w:rStyle w:val="Hyperkobling"/>
            <w:bCs/>
            <w:iCs/>
          </w:rPr>
          <w:t>recommendations</w:t>
        </w:r>
        <w:proofErr w:type="spellEnd"/>
        <w:r w:rsidRPr="005E308E">
          <w:rPr>
            <w:rStyle w:val="Hyperkobling"/>
            <w:bCs/>
            <w:iCs/>
          </w:rPr>
          <w:t xml:space="preserve"> </w:t>
        </w:r>
        <w:proofErr w:type="spellStart"/>
        <w:r w:rsidRPr="005E308E">
          <w:rPr>
            <w:rStyle w:val="Hyperkobling"/>
            <w:bCs/>
            <w:iCs/>
          </w:rPr>
          <w:t>on</w:t>
        </w:r>
        <w:proofErr w:type="spellEnd"/>
        <w:r w:rsidRPr="005E308E">
          <w:rPr>
            <w:rStyle w:val="Hyperkobling"/>
            <w:bCs/>
            <w:iCs/>
          </w:rPr>
          <w:t xml:space="preserve"> </w:t>
        </w:r>
        <w:proofErr w:type="spellStart"/>
        <w:r w:rsidRPr="005E308E">
          <w:rPr>
            <w:rStyle w:val="Hyperkobling"/>
            <w:bCs/>
            <w:iCs/>
          </w:rPr>
          <w:t>safety</w:t>
        </w:r>
        <w:proofErr w:type="spellEnd"/>
        <w:r w:rsidRPr="005E308E">
          <w:rPr>
            <w:rStyle w:val="Hyperkobling"/>
            <w:bCs/>
            <w:iCs/>
          </w:rPr>
          <w:t xml:space="preserve"> signals</w:t>
        </w:r>
      </w:hyperlink>
      <w:r w:rsidRPr="005E308E">
        <w:t xml:space="preserve"> (kun engelsk versjon).</w:t>
      </w:r>
    </w:p>
    <w:p w14:paraId="530DEB1E" w14:textId="77777777" w:rsidR="000B5A28" w:rsidRPr="005E308E" w:rsidRDefault="000B5A28" w:rsidP="000B5A28">
      <w:pPr>
        <w:pStyle w:val="BodytextAgency"/>
      </w:pPr>
      <w:r w:rsidRPr="005E308E">
        <w:t>Ny tekst som skal inn i produktinformasjonen</w:t>
      </w:r>
      <w:r>
        <w:t>,</w:t>
      </w:r>
      <w:r w:rsidRPr="005E308E">
        <w:t xml:space="preserve"> er </w:t>
      </w:r>
      <w:r w:rsidRPr="005E308E">
        <w:rPr>
          <w:u w:val="single"/>
        </w:rPr>
        <w:t>understreket</w:t>
      </w:r>
      <w:r w:rsidRPr="005E308E">
        <w:t>. Nåværende tekst som skal slettes</w:t>
      </w:r>
      <w:r>
        <w:t>,</w:t>
      </w:r>
      <w:r w:rsidRPr="005E308E">
        <w:t xml:space="preserve"> er </w:t>
      </w:r>
      <w:proofErr w:type="spellStart"/>
      <w:r w:rsidRPr="006E12C7">
        <w:rPr>
          <w:strike/>
        </w:rPr>
        <w:t>gjennomstreket</w:t>
      </w:r>
      <w:proofErr w:type="spellEnd"/>
      <w:r w:rsidRPr="005E308E">
        <w:t>.</w:t>
      </w:r>
    </w:p>
    <w:p w14:paraId="5B4B1B6B" w14:textId="77777777" w:rsidR="00DE4C8A" w:rsidRPr="00DE4C8A" w:rsidRDefault="00DE4C8A" w:rsidP="004421C1">
      <w:pPr>
        <w:pStyle w:val="BodytextAgency"/>
      </w:pPr>
    </w:p>
    <w:p w14:paraId="0DB1CC9D" w14:textId="6F3914E9" w:rsidR="001254D9" w:rsidRPr="00DE4C8A" w:rsidRDefault="00D8722B" w:rsidP="001254D9">
      <w:pPr>
        <w:pStyle w:val="Heading1Agency"/>
        <w:numPr>
          <w:ilvl w:val="0"/>
          <w:numId w:val="5"/>
        </w:numPr>
      </w:pPr>
      <w:proofErr w:type="spellStart"/>
      <w:r>
        <w:rPr>
          <w:lang w:eastAsia="en-US"/>
        </w:rPr>
        <w:t>Afatinib</w:t>
      </w:r>
      <w:proofErr w:type="spellEnd"/>
      <w:r>
        <w:rPr>
          <w:lang w:eastAsia="en-US"/>
        </w:rPr>
        <w:t xml:space="preserve"> – Vekst av øyevipper </w:t>
      </w:r>
      <w:r w:rsidRPr="00D8722B">
        <w:rPr>
          <w:lang w:eastAsia="en-US"/>
        </w:rPr>
        <w:t>(EPITT n</w:t>
      </w:r>
      <w:r w:rsidR="00F22933">
        <w:rPr>
          <w:lang w:eastAsia="en-US"/>
        </w:rPr>
        <w:t>r.</w:t>
      </w:r>
      <w:r w:rsidRPr="00D8722B">
        <w:rPr>
          <w:lang w:eastAsia="en-US"/>
        </w:rPr>
        <w:t xml:space="preserve"> 19987)</w:t>
      </w:r>
    </w:p>
    <w:p w14:paraId="0DB1CC9F" w14:textId="590AC60F" w:rsidR="00F176F0" w:rsidRPr="00F176F0" w:rsidRDefault="00DE4C8A" w:rsidP="00F176F0">
      <w:pPr>
        <w:pStyle w:val="BodytextAgency"/>
      </w:pPr>
      <w:r>
        <w:rPr>
          <w:b/>
          <w:bCs/>
        </w:rPr>
        <w:t>Preparatomtale</w:t>
      </w:r>
    </w:p>
    <w:p w14:paraId="0DB1CCA0" w14:textId="032C7BA4" w:rsidR="00F176F0" w:rsidRDefault="009829D4" w:rsidP="00F176F0">
      <w:pPr>
        <w:pStyle w:val="BodytextAgency"/>
      </w:pPr>
      <w:r w:rsidRPr="00F176F0">
        <w:t>4.</w:t>
      </w:r>
      <w:r w:rsidR="00F22933">
        <w:t>8</w:t>
      </w:r>
      <w:r w:rsidRPr="00F176F0">
        <w:t xml:space="preserve"> </w:t>
      </w:r>
      <w:r w:rsidR="00F22933">
        <w:t>Bivirkninger</w:t>
      </w:r>
    </w:p>
    <w:p w14:paraId="1B66372D" w14:textId="2E01ECE4" w:rsidR="00F22933" w:rsidRDefault="00F22933" w:rsidP="00F176F0">
      <w:pPr>
        <w:pStyle w:val="BodytextAgency"/>
      </w:pPr>
      <w:r>
        <w:t>Øyesykdommer</w:t>
      </w:r>
    </w:p>
    <w:p w14:paraId="14B3B03E" w14:textId="02FD9227" w:rsidR="00F22933" w:rsidRDefault="00F22933" w:rsidP="00F176F0">
      <w:pPr>
        <w:pStyle w:val="BodytextAgency"/>
      </w:pPr>
      <w:r>
        <w:t>Frekvens "mindre vanlige":</w:t>
      </w:r>
    </w:p>
    <w:p w14:paraId="53C0E038" w14:textId="4D2CCCFD" w:rsidR="00F22933" w:rsidRPr="00F22933" w:rsidRDefault="002D487A" w:rsidP="00F176F0">
      <w:pPr>
        <w:pStyle w:val="BodytextAgency"/>
        <w:rPr>
          <w:u w:val="single"/>
        </w:rPr>
      </w:pPr>
      <w:proofErr w:type="spellStart"/>
      <w:r>
        <w:rPr>
          <w:u w:val="single"/>
        </w:rPr>
        <w:t>a</w:t>
      </w:r>
      <w:r w:rsidR="00F22933" w:rsidRPr="00F22933">
        <w:rPr>
          <w:u w:val="single"/>
        </w:rPr>
        <w:t>bnormal</w:t>
      </w:r>
      <w:proofErr w:type="spellEnd"/>
      <w:r w:rsidR="00F22933" w:rsidRPr="00F22933">
        <w:rPr>
          <w:u w:val="single"/>
        </w:rPr>
        <w:t xml:space="preserve"> vekst av øyevipper</w:t>
      </w:r>
    </w:p>
    <w:p w14:paraId="0DB1CCD6" w14:textId="4EDEDD10" w:rsidR="001503FB" w:rsidRDefault="009829D4" w:rsidP="00D533D0">
      <w:pPr>
        <w:pStyle w:val="BodytextAgency"/>
        <w:spacing w:before="120"/>
        <w:jc w:val="both"/>
        <w:rPr>
          <w:b/>
          <w:bCs/>
          <w:iCs/>
        </w:rPr>
      </w:pPr>
      <w:r w:rsidRPr="0094767E">
        <w:br/>
      </w:r>
      <w:r w:rsidR="003075BD" w:rsidRPr="003075BD">
        <w:rPr>
          <w:b/>
          <w:bCs/>
          <w:iCs/>
        </w:rPr>
        <w:t>P</w:t>
      </w:r>
      <w:r w:rsidR="003075BD">
        <w:rPr>
          <w:b/>
          <w:bCs/>
          <w:iCs/>
        </w:rPr>
        <w:t>akningsvedlegg</w:t>
      </w:r>
    </w:p>
    <w:p w14:paraId="72A85FB1" w14:textId="607E0BCC" w:rsidR="005D5B84" w:rsidRDefault="00F22933" w:rsidP="00D533D0">
      <w:pPr>
        <w:pStyle w:val="BodytextAgency"/>
        <w:spacing w:before="120"/>
        <w:jc w:val="both"/>
        <w:rPr>
          <w:iCs/>
        </w:rPr>
      </w:pPr>
      <w:r w:rsidRPr="00F22933">
        <w:rPr>
          <w:iCs/>
        </w:rPr>
        <w:t xml:space="preserve">4. </w:t>
      </w:r>
      <w:r>
        <w:rPr>
          <w:iCs/>
        </w:rPr>
        <w:t>Mulige bivirkninger</w:t>
      </w:r>
    </w:p>
    <w:p w14:paraId="766F6A16" w14:textId="7A840797" w:rsidR="00F22933" w:rsidRDefault="00F22933" w:rsidP="00D533D0">
      <w:pPr>
        <w:pStyle w:val="BodytextAgency"/>
        <w:spacing w:before="120"/>
        <w:jc w:val="both"/>
        <w:rPr>
          <w:iCs/>
        </w:rPr>
      </w:pPr>
      <w:r>
        <w:rPr>
          <w:iCs/>
        </w:rPr>
        <w:t xml:space="preserve">Mindre vanlige bivirkninger (kan </w:t>
      </w:r>
      <w:r w:rsidR="007C10D7">
        <w:rPr>
          <w:iCs/>
        </w:rPr>
        <w:t>påvirke oppt</w:t>
      </w:r>
      <w:r>
        <w:rPr>
          <w:iCs/>
        </w:rPr>
        <w:t>il 1 av 100 personer):</w:t>
      </w:r>
    </w:p>
    <w:p w14:paraId="68F448EF" w14:textId="25B801D1" w:rsidR="00F22933" w:rsidRPr="007C10D7" w:rsidRDefault="007C10D7" w:rsidP="007C10D7">
      <w:pPr>
        <w:pStyle w:val="BodytextAgency"/>
        <w:numPr>
          <w:ilvl w:val="0"/>
          <w:numId w:val="10"/>
        </w:numPr>
        <w:spacing w:before="120"/>
        <w:jc w:val="both"/>
        <w:rPr>
          <w:iCs/>
          <w:u w:val="single"/>
        </w:rPr>
      </w:pPr>
      <w:r>
        <w:rPr>
          <w:iCs/>
          <w:u w:val="single"/>
        </w:rPr>
        <w:t>u</w:t>
      </w:r>
      <w:r w:rsidR="00F22933" w:rsidRPr="007C10D7">
        <w:rPr>
          <w:iCs/>
          <w:u w:val="single"/>
        </w:rPr>
        <w:t>normal vekst av øyevipper (inkludert vekst i uvanlige retninger som kan føre til skade på øyeoverflaten)</w:t>
      </w:r>
    </w:p>
    <w:p w14:paraId="07543D02" w14:textId="77777777" w:rsidR="007C5F5A" w:rsidRPr="00F22933" w:rsidRDefault="007C5F5A" w:rsidP="00D533D0">
      <w:pPr>
        <w:pStyle w:val="BodytextAgency"/>
        <w:spacing w:before="120"/>
        <w:jc w:val="both"/>
        <w:rPr>
          <w:iCs/>
        </w:rPr>
      </w:pPr>
    </w:p>
    <w:p w14:paraId="1669A364" w14:textId="5CF35185" w:rsidR="007C5F5A" w:rsidRPr="007349C4" w:rsidRDefault="007C5F5A" w:rsidP="007C5F5A">
      <w:pPr>
        <w:pStyle w:val="Heading1Agency"/>
        <w:numPr>
          <w:ilvl w:val="0"/>
          <w:numId w:val="5"/>
        </w:numPr>
      </w:pPr>
      <w:proofErr w:type="spellStart"/>
      <w:r w:rsidRPr="007349C4">
        <w:rPr>
          <w:lang w:eastAsia="en-US"/>
        </w:rPr>
        <w:t>Lenvatinib</w:t>
      </w:r>
      <w:proofErr w:type="spellEnd"/>
      <w:r w:rsidRPr="007349C4">
        <w:t xml:space="preserve"> – </w:t>
      </w:r>
      <w:r w:rsidRPr="007349C4">
        <w:rPr>
          <w:lang w:eastAsia="en-US"/>
        </w:rPr>
        <w:t>Tum</w:t>
      </w:r>
      <w:r>
        <w:rPr>
          <w:lang w:eastAsia="en-US"/>
        </w:rPr>
        <w:t xml:space="preserve">orlysesyndrom </w:t>
      </w:r>
      <w:r w:rsidRPr="007349C4">
        <w:t>(EPITT n</w:t>
      </w:r>
      <w:r>
        <w:t>r.</w:t>
      </w:r>
      <w:r w:rsidRPr="007349C4">
        <w:t xml:space="preserve"> 20108)</w:t>
      </w:r>
    </w:p>
    <w:p w14:paraId="07D2D85C" w14:textId="28185E45" w:rsidR="005D5B84" w:rsidRDefault="00D04F1C" w:rsidP="00D533D0">
      <w:pPr>
        <w:pStyle w:val="BodytextAgency"/>
        <w:spacing w:before="120"/>
        <w:jc w:val="both"/>
        <w:rPr>
          <w:b/>
          <w:bCs/>
          <w:iCs/>
        </w:rPr>
      </w:pPr>
      <w:r w:rsidRPr="00D04F1C">
        <w:rPr>
          <w:b/>
          <w:bCs/>
          <w:iCs/>
        </w:rPr>
        <w:t>Preparatomtale</w:t>
      </w:r>
    </w:p>
    <w:p w14:paraId="5A2B36DA" w14:textId="59AACC12" w:rsidR="005D5B84" w:rsidRDefault="00D04F1C" w:rsidP="00D533D0">
      <w:pPr>
        <w:pStyle w:val="BodytextAgency"/>
        <w:spacing w:before="120"/>
        <w:jc w:val="both"/>
        <w:rPr>
          <w:iCs/>
        </w:rPr>
      </w:pPr>
      <w:r w:rsidRPr="00D04F1C">
        <w:rPr>
          <w:iCs/>
        </w:rPr>
        <w:t>4.4</w:t>
      </w:r>
      <w:r>
        <w:rPr>
          <w:iCs/>
        </w:rPr>
        <w:t xml:space="preserve"> Advarsler og forsiktighetsregler</w:t>
      </w:r>
    </w:p>
    <w:p w14:paraId="110C033E" w14:textId="77777777" w:rsidR="00D04F1C" w:rsidRPr="00D04F1C" w:rsidRDefault="00D04F1C" w:rsidP="00D04F1C">
      <w:pPr>
        <w:pStyle w:val="BodytextAgency"/>
        <w:spacing w:before="120"/>
        <w:jc w:val="both"/>
        <w:rPr>
          <w:iCs/>
          <w:lang w:val="en-US"/>
        </w:rPr>
      </w:pPr>
      <w:r w:rsidRPr="00D04F1C">
        <w:rPr>
          <w:iCs/>
          <w:lang w:val="en-US"/>
        </w:rPr>
        <w:lastRenderedPageBreak/>
        <w:t xml:space="preserve">For </w:t>
      </w:r>
      <w:proofErr w:type="spellStart"/>
      <w:r w:rsidRPr="00D04F1C">
        <w:rPr>
          <w:iCs/>
          <w:lang w:val="en-US"/>
        </w:rPr>
        <w:t>Lenvima</w:t>
      </w:r>
      <w:proofErr w:type="spellEnd"/>
      <w:r w:rsidRPr="00D04F1C">
        <w:rPr>
          <w:iCs/>
          <w:lang w:val="en-US"/>
        </w:rPr>
        <w:t xml:space="preserve"> and </w:t>
      </w:r>
      <w:proofErr w:type="spellStart"/>
      <w:r w:rsidRPr="00D04F1C">
        <w:rPr>
          <w:iCs/>
          <w:lang w:val="en-US"/>
        </w:rPr>
        <w:t>Kisplyx</w:t>
      </w:r>
      <w:proofErr w:type="spellEnd"/>
      <w:r w:rsidRPr="00D04F1C">
        <w:rPr>
          <w:iCs/>
          <w:lang w:val="en-US"/>
        </w:rPr>
        <w:t>:</w:t>
      </w:r>
    </w:p>
    <w:p w14:paraId="14E51381" w14:textId="09C2AE1C" w:rsidR="00D04F1C" w:rsidRPr="00F23651" w:rsidRDefault="00D04F1C" w:rsidP="00D04F1C">
      <w:pPr>
        <w:pStyle w:val="BodytextAgency"/>
        <w:spacing w:before="120"/>
        <w:jc w:val="both"/>
        <w:rPr>
          <w:iCs/>
          <w:u w:val="single"/>
          <w:lang w:val="en-US"/>
        </w:rPr>
      </w:pPr>
      <w:proofErr w:type="spellStart"/>
      <w:r w:rsidRPr="00F23651">
        <w:rPr>
          <w:iCs/>
          <w:u w:val="single"/>
          <w:lang w:val="en-US"/>
        </w:rPr>
        <w:t>Tumorlysesyndrom</w:t>
      </w:r>
      <w:proofErr w:type="spellEnd"/>
      <w:r w:rsidRPr="00F23651">
        <w:rPr>
          <w:iCs/>
          <w:u w:val="single"/>
          <w:lang w:val="en-US"/>
        </w:rPr>
        <w:t xml:space="preserve"> (TLS)</w:t>
      </w:r>
    </w:p>
    <w:p w14:paraId="21002402" w14:textId="74F1E4A0" w:rsidR="006A73E6" w:rsidRPr="00F23651" w:rsidRDefault="006A73E6" w:rsidP="00D04F1C">
      <w:pPr>
        <w:pStyle w:val="BodytextAgency"/>
        <w:spacing w:before="120"/>
        <w:jc w:val="both"/>
        <w:rPr>
          <w:iCs/>
          <w:u w:val="single"/>
        </w:rPr>
      </w:pPr>
      <w:proofErr w:type="spellStart"/>
      <w:r w:rsidRPr="00F23651">
        <w:rPr>
          <w:iCs/>
          <w:u w:val="single"/>
        </w:rPr>
        <w:t>Lenvatinib</w:t>
      </w:r>
      <w:proofErr w:type="spellEnd"/>
      <w:r w:rsidRPr="00F23651">
        <w:rPr>
          <w:iCs/>
          <w:u w:val="single"/>
        </w:rPr>
        <w:t xml:space="preserve"> kan forårsake TLS, som kan være fatal. Risikofaktorer for TLS inkluderer, men er ikke begrenset til, høy </w:t>
      </w:r>
      <w:r w:rsidR="002C7E37" w:rsidRPr="00F23651">
        <w:rPr>
          <w:iCs/>
          <w:u w:val="single"/>
        </w:rPr>
        <w:t>tumor</w:t>
      </w:r>
      <w:r w:rsidRPr="00F23651">
        <w:rPr>
          <w:iCs/>
          <w:u w:val="single"/>
        </w:rPr>
        <w:t>byrde, eksisterende nedsatt nyrefunksjon og dehydrering. Disse pasientene skal overvåkes nøye og behandl</w:t>
      </w:r>
      <w:r w:rsidR="004B5839" w:rsidRPr="00F23651">
        <w:rPr>
          <w:iCs/>
          <w:u w:val="single"/>
        </w:rPr>
        <w:t xml:space="preserve">es </w:t>
      </w:r>
      <w:r w:rsidR="00053DC6" w:rsidRPr="00F23651">
        <w:rPr>
          <w:iCs/>
          <w:u w:val="single"/>
        </w:rPr>
        <w:t>som</w:t>
      </w:r>
      <w:r w:rsidR="004B5839" w:rsidRPr="00F23651">
        <w:rPr>
          <w:iCs/>
          <w:u w:val="single"/>
        </w:rPr>
        <w:t xml:space="preserve"> klinisk </w:t>
      </w:r>
      <w:r w:rsidR="00053DC6" w:rsidRPr="00F23651">
        <w:rPr>
          <w:iCs/>
          <w:u w:val="single"/>
        </w:rPr>
        <w:t>indisert</w:t>
      </w:r>
      <w:r w:rsidR="004B5839" w:rsidRPr="00F23651">
        <w:rPr>
          <w:iCs/>
          <w:u w:val="single"/>
        </w:rPr>
        <w:t xml:space="preserve"> og profylaktisk hydrering bør vurderes.</w:t>
      </w:r>
    </w:p>
    <w:p w14:paraId="742B6152" w14:textId="77777777" w:rsidR="00362DE5" w:rsidRPr="006F1755" w:rsidRDefault="00362DE5" w:rsidP="00D04F1C">
      <w:pPr>
        <w:pStyle w:val="BodytextAgency"/>
        <w:spacing w:before="120"/>
        <w:jc w:val="both"/>
        <w:rPr>
          <w:iCs/>
        </w:rPr>
      </w:pPr>
    </w:p>
    <w:p w14:paraId="3329F542" w14:textId="53DA2E34" w:rsidR="00D04F1C" w:rsidRPr="00CC07E2" w:rsidRDefault="00020E94" w:rsidP="00D04F1C">
      <w:pPr>
        <w:pStyle w:val="BodytextAgency"/>
        <w:spacing w:before="120"/>
        <w:jc w:val="both"/>
        <w:rPr>
          <w:iCs/>
        </w:rPr>
      </w:pPr>
      <w:r w:rsidRPr="00CC07E2">
        <w:rPr>
          <w:iCs/>
        </w:rPr>
        <w:t>4.8 Bivirkninger</w:t>
      </w:r>
    </w:p>
    <w:p w14:paraId="4A8177B0" w14:textId="77777777" w:rsidR="00020E94" w:rsidRDefault="00020E94" w:rsidP="00020E94">
      <w:pPr>
        <w:pStyle w:val="BodytextAgency"/>
        <w:spacing w:before="120"/>
        <w:jc w:val="both"/>
        <w:rPr>
          <w:iCs/>
        </w:rPr>
      </w:pPr>
      <w:r w:rsidRPr="00CC07E2">
        <w:rPr>
          <w:iCs/>
        </w:rPr>
        <w:t xml:space="preserve">For </w:t>
      </w:r>
      <w:proofErr w:type="spellStart"/>
      <w:r w:rsidRPr="00CC07E2">
        <w:rPr>
          <w:iCs/>
        </w:rPr>
        <w:t>Lenvima</w:t>
      </w:r>
      <w:proofErr w:type="spellEnd"/>
      <w:r w:rsidRPr="00CC07E2">
        <w:rPr>
          <w:iCs/>
        </w:rPr>
        <w:t>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001"/>
        <w:gridCol w:w="3660"/>
      </w:tblGrid>
      <w:tr w:rsidR="00CC07E2" w:rsidRPr="00CC07E2" w14:paraId="33D70B25" w14:textId="77777777" w:rsidTr="00E2327A">
        <w:trPr>
          <w:trHeight w:val="309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C1EA" w14:textId="29EE478F" w:rsidR="00CC07E2" w:rsidRPr="00CC07E2" w:rsidRDefault="00CC07E2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vertAlign w:val="superscript"/>
              </w:rPr>
            </w:pPr>
            <w:r w:rsidRPr="00CC07E2">
              <w:rPr>
                <w:rFonts w:ascii="Verdana" w:hAnsi="Verdana"/>
                <w:b/>
                <w:bCs/>
              </w:rPr>
              <w:t xml:space="preserve">Tabell 6 Bivirkninger rapportert hos pasienter behandlet med </w:t>
            </w:r>
            <w:proofErr w:type="spellStart"/>
            <w:r w:rsidRPr="00CC07E2">
              <w:rPr>
                <w:rFonts w:ascii="Verdana" w:hAnsi="Verdana"/>
                <w:b/>
                <w:bCs/>
              </w:rPr>
              <w:t>lenvatinib</w:t>
            </w:r>
            <w:proofErr w:type="spellEnd"/>
            <w:r w:rsidRPr="00CC07E2">
              <w:rPr>
                <w:rFonts w:ascii="Verdana" w:hAnsi="Verdana"/>
                <w:b/>
                <w:bCs/>
                <w:vertAlign w:val="superscript"/>
              </w:rPr>
              <w:t>§</w:t>
            </w:r>
          </w:p>
        </w:tc>
      </w:tr>
      <w:tr w:rsidR="00CC07E2" w14:paraId="254314C9" w14:textId="77777777" w:rsidTr="00CC07E2">
        <w:trPr>
          <w:trHeight w:val="62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35BD0" w14:textId="44A6A478" w:rsidR="00CC07E2" w:rsidRPr="004F59F6" w:rsidRDefault="00CC07E2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lang w:val="sv-SE"/>
              </w:rPr>
            </w:pPr>
            <w:r>
              <w:rPr>
                <w:rFonts w:ascii="Verdana" w:hAnsi="Verdana"/>
                <w:b/>
                <w:bCs/>
                <w:lang w:val="sv-SE"/>
              </w:rPr>
              <w:t>Organklasse-system</w:t>
            </w:r>
          </w:p>
          <w:p w14:paraId="56761E71" w14:textId="1D5A7B23" w:rsidR="00CC07E2" w:rsidRPr="004F59F6" w:rsidRDefault="00CC07E2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lang w:val="sv-SE"/>
              </w:rPr>
            </w:pPr>
            <w:r w:rsidRPr="004F59F6">
              <w:rPr>
                <w:rFonts w:ascii="Verdana" w:hAnsi="Verdana"/>
                <w:lang w:val="sv-SE"/>
              </w:rPr>
              <w:t>(MedDRA</w:t>
            </w:r>
            <w:r>
              <w:rPr>
                <w:rFonts w:ascii="Verdana" w:hAnsi="Verdana"/>
                <w:lang w:val="sv-SE"/>
              </w:rPr>
              <w:t>-</w:t>
            </w:r>
            <w:r w:rsidRPr="004F59F6">
              <w:rPr>
                <w:rFonts w:ascii="Verdana" w:hAnsi="Verdana"/>
                <w:lang w:val="sv-SE"/>
              </w:rPr>
              <w:t>terminolog</w:t>
            </w:r>
            <w:r>
              <w:rPr>
                <w:rFonts w:ascii="Verdana" w:hAnsi="Verdana"/>
                <w:lang w:val="sv-SE"/>
              </w:rPr>
              <w:t>i</w:t>
            </w:r>
            <w:r w:rsidRPr="004F59F6">
              <w:rPr>
                <w:rFonts w:ascii="Verdana" w:hAnsi="Verdana"/>
                <w:lang w:val="sv-SE"/>
              </w:rPr>
              <w:t>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B3C3" w14:textId="37738C26" w:rsidR="00CC07E2" w:rsidRPr="004F59F6" w:rsidRDefault="00CC07E2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8"/>
              <w:rPr>
                <w:rFonts w:ascii="Verdana" w:hAnsi="Verdana"/>
                <w:b/>
                <w:bCs/>
                <w:lang w:val="sv-SE"/>
              </w:rPr>
            </w:pPr>
            <w:r w:rsidRPr="004F59F6">
              <w:rPr>
                <w:rFonts w:ascii="Verdana" w:hAnsi="Verdana"/>
                <w:b/>
                <w:bCs/>
                <w:lang w:val="sv-SE"/>
              </w:rPr>
              <w:t xml:space="preserve">Lenvatinib </w:t>
            </w:r>
            <w:r>
              <w:rPr>
                <w:rFonts w:ascii="Verdana" w:hAnsi="Verdana"/>
                <w:b/>
                <w:bCs/>
                <w:lang w:val="sv-SE"/>
              </w:rPr>
              <w:t>som monoterapi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A18" w14:textId="2BD14DE6" w:rsidR="00CC07E2" w:rsidRPr="004F59F6" w:rsidRDefault="00CC07E2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6"/>
              <w:rPr>
                <w:rFonts w:ascii="Verdana" w:hAnsi="Verdana"/>
                <w:b/>
                <w:bCs/>
                <w:lang w:val="sv-SE"/>
              </w:rPr>
            </w:pPr>
            <w:r>
              <w:rPr>
                <w:rFonts w:ascii="Verdana" w:hAnsi="Verdana"/>
                <w:b/>
                <w:bCs/>
                <w:lang w:val="sv-SE"/>
              </w:rPr>
              <w:t>Kombinasjon med</w:t>
            </w:r>
            <w:r w:rsidRPr="004F59F6">
              <w:rPr>
                <w:rFonts w:ascii="Verdana" w:hAnsi="Verdana"/>
                <w:b/>
                <w:bCs/>
                <w:lang w:val="sv-SE"/>
              </w:rPr>
              <w:t xml:space="preserve"> pembrolizumab</w:t>
            </w:r>
          </w:p>
        </w:tc>
      </w:tr>
      <w:tr w:rsidR="00CC07E2" w14:paraId="0A3181D4" w14:textId="77777777" w:rsidTr="00E2327A">
        <w:trPr>
          <w:trHeight w:val="309"/>
        </w:trPr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33C" w14:textId="4A81F4A6" w:rsidR="00CC07E2" w:rsidRPr="004F59F6" w:rsidRDefault="00CC07E2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lang w:val="sv-SE"/>
              </w:rPr>
            </w:pPr>
            <w:r w:rsidRPr="00CC07E2">
              <w:rPr>
                <w:rFonts w:ascii="Verdana" w:hAnsi="Verdana"/>
                <w:b/>
                <w:bCs/>
                <w:lang w:val="sv-SE"/>
              </w:rPr>
              <w:t>Stoffskifte- og ernæringsbetingede sykdommer</w:t>
            </w:r>
          </w:p>
        </w:tc>
      </w:tr>
      <w:tr w:rsidR="00056CA8" w14:paraId="639D7AAC" w14:textId="77777777" w:rsidTr="00CC07E2">
        <w:trPr>
          <w:trHeight w:val="41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4B01" w14:textId="29A6DF6F" w:rsidR="00056CA8" w:rsidRPr="004F59F6" w:rsidRDefault="00056CA8" w:rsidP="00056CA8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spacing w:val="-2"/>
                <w:u w:val="single"/>
                <w:lang w:val="sv-SE"/>
              </w:rPr>
            </w:pPr>
            <w:r>
              <w:rPr>
                <w:rFonts w:ascii="Verdana" w:hAnsi="Verdana"/>
                <w:spacing w:val="-2"/>
                <w:u w:val="single"/>
                <w:lang w:val="sv-SE"/>
              </w:rPr>
              <w:t>Sjeldne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68D" w14:textId="65DB4889" w:rsidR="00056CA8" w:rsidRPr="004F59F6" w:rsidRDefault="00056CA8" w:rsidP="00056CA8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8"/>
              <w:rPr>
                <w:rFonts w:ascii="Verdana" w:hAnsi="Verdana"/>
                <w:spacing w:val="-2"/>
                <w:u w:val="single"/>
                <w:lang w:val="sv-SE"/>
              </w:rPr>
            </w:pPr>
            <w:r w:rsidRPr="004F59F6">
              <w:rPr>
                <w:rFonts w:ascii="Verdana" w:hAnsi="Verdana"/>
                <w:spacing w:val="-2"/>
                <w:u w:val="single"/>
                <w:lang w:val="sv-SE"/>
              </w:rPr>
              <w:t>Tumo</w:t>
            </w:r>
            <w:r>
              <w:rPr>
                <w:rFonts w:ascii="Verdana" w:hAnsi="Verdana"/>
                <w:spacing w:val="-2"/>
                <w:u w:val="single"/>
                <w:lang w:val="sv-SE"/>
              </w:rPr>
              <w:t>rlysesyndrom</w:t>
            </w:r>
            <w:r w:rsidRPr="004F59F6">
              <w:rPr>
                <w:rFonts w:ascii="Verdana" w:hAnsi="Verdana"/>
              </w:rPr>
              <w:t>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A1C" w14:textId="4525731E" w:rsidR="00056CA8" w:rsidRPr="004F59F6" w:rsidRDefault="00056CA8" w:rsidP="00056CA8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6"/>
              <w:rPr>
                <w:rFonts w:ascii="Verdana" w:hAnsi="Verdana"/>
                <w:spacing w:val="-2"/>
                <w:u w:val="single"/>
                <w:lang w:val="sv-SE"/>
              </w:rPr>
            </w:pPr>
            <w:r w:rsidRPr="004F59F6">
              <w:rPr>
                <w:rFonts w:ascii="Verdana" w:hAnsi="Verdana"/>
                <w:spacing w:val="-2"/>
                <w:u w:val="single"/>
                <w:lang w:val="sv-SE"/>
              </w:rPr>
              <w:t>Tumo</w:t>
            </w:r>
            <w:r>
              <w:rPr>
                <w:rFonts w:ascii="Verdana" w:hAnsi="Verdana"/>
                <w:spacing w:val="-2"/>
                <w:u w:val="single"/>
                <w:lang w:val="sv-SE"/>
              </w:rPr>
              <w:t>rlysesyndrom</w:t>
            </w:r>
            <w:r w:rsidRPr="004F59F6">
              <w:rPr>
                <w:rFonts w:ascii="Verdana" w:hAnsi="Verdana"/>
              </w:rPr>
              <w:t>†</w:t>
            </w:r>
          </w:p>
        </w:tc>
      </w:tr>
    </w:tbl>
    <w:p w14:paraId="6CB2006E" w14:textId="77777777" w:rsidR="00056CA8" w:rsidRDefault="00056CA8" w:rsidP="00056CA8">
      <w:pPr>
        <w:rPr>
          <w:rFonts w:ascii="Verdana" w:eastAsia="Verdana" w:hAnsi="Verdana" w:cs="Verdana"/>
          <w:iCs/>
        </w:rPr>
      </w:pPr>
    </w:p>
    <w:p w14:paraId="6C180986" w14:textId="4FA7A000" w:rsidR="00056CA8" w:rsidRPr="00056CA8" w:rsidRDefault="00056CA8" w:rsidP="00056CA8">
      <w:pPr>
        <w:rPr>
          <w:rFonts w:ascii="Verdana" w:eastAsia="Verdana" w:hAnsi="Verdana" w:cs="Verdana"/>
          <w:iCs/>
        </w:rPr>
      </w:pPr>
      <w:r w:rsidRPr="00056CA8">
        <w:rPr>
          <w:rFonts w:ascii="Verdana" w:eastAsia="Verdana" w:hAnsi="Verdana" w:cs="Verdana"/>
          <w:iCs/>
        </w:rPr>
        <w:t>†: Inkludert tilfeller med fatale utfall.</w:t>
      </w:r>
    </w:p>
    <w:p w14:paraId="1817AADF" w14:textId="77777777" w:rsidR="00056CA8" w:rsidRPr="00056CA8" w:rsidRDefault="00056CA8" w:rsidP="00D04F1C">
      <w:pPr>
        <w:pStyle w:val="BodytextAgency"/>
        <w:spacing w:before="120"/>
        <w:jc w:val="both"/>
        <w:rPr>
          <w:iCs/>
        </w:rPr>
      </w:pPr>
    </w:p>
    <w:p w14:paraId="155FC84D" w14:textId="1CDE52B5" w:rsidR="00D04F1C" w:rsidRPr="00D04F1C" w:rsidRDefault="00D04F1C" w:rsidP="00D04F1C">
      <w:pPr>
        <w:pStyle w:val="BodytextAgency"/>
        <w:spacing w:before="120"/>
        <w:jc w:val="both"/>
        <w:rPr>
          <w:iCs/>
          <w:lang w:val="en-US"/>
        </w:rPr>
      </w:pPr>
      <w:r w:rsidRPr="00D04F1C">
        <w:rPr>
          <w:iCs/>
          <w:lang w:val="en-US"/>
        </w:rPr>
        <w:t xml:space="preserve">For </w:t>
      </w:r>
      <w:proofErr w:type="spellStart"/>
      <w:r w:rsidRPr="00D04F1C">
        <w:rPr>
          <w:iCs/>
          <w:lang w:val="en-US"/>
        </w:rPr>
        <w:t>Kisplyx</w:t>
      </w:r>
      <w:proofErr w:type="spellEnd"/>
      <w:r w:rsidRPr="00D04F1C">
        <w:rPr>
          <w:iCs/>
          <w:lang w:val="en-US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046"/>
        <w:gridCol w:w="2761"/>
        <w:gridCol w:w="2759"/>
      </w:tblGrid>
      <w:tr w:rsidR="00056CA8" w:rsidRPr="00056CA8" w14:paraId="06EBB47E" w14:textId="77777777" w:rsidTr="00E2327A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2C1" w14:textId="35AE6B75" w:rsidR="00056CA8" w:rsidRPr="00056CA8" w:rsidRDefault="00056CA8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vertAlign w:val="superscript"/>
              </w:rPr>
            </w:pPr>
            <w:r w:rsidRPr="00056CA8">
              <w:rPr>
                <w:rFonts w:ascii="Verdana" w:hAnsi="Verdana"/>
                <w:b/>
                <w:bCs/>
              </w:rPr>
              <w:t xml:space="preserve">Tabell 6 Bivirkninger rapportert hos pasienter behandlet med </w:t>
            </w:r>
            <w:proofErr w:type="spellStart"/>
            <w:r w:rsidRPr="00056CA8">
              <w:rPr>
                <w:rFonts w:ascii="Verdana" w:hAnsi="Verdana"/>
                <w:b/>
                <w:bCs/>
              </w:rPr>
              <w:t>lenvatinib</w:t>
            </w:r>
            <w:proofErr w:type="spellEnd"/>
            <w:r w:rsidRPr="00056CA8">
              <w:rPr>
                <w:rFonts w:ascii="Verdana" w:hAnsi="Verdana"/>
                <w:b/>
                <w:bCs/>
              </w:rPr>
              <w:t>§</w:t>
            </w:r>
          </w:p>
        </w:tc>
      </w:tr>
      <w:tr w:rsidR="00056CA8" w14:paraId="7F2C2F70" w14:textId="77777777" w:rsidTr="00E2327A">
        <w:trPr>
          <w:trHeight w:val="939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0BBD2" w14:textId="77777777" w:rsidR="00056CA8" w:rsidRPr="00056CA8" w:rsidRDefault="00056CA8" w:rsidP="00056CA8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lang w:val="sv-SE"/>
              </w:rPr>
            </w:pPr>
            <w:r w:rsidRPr="00056CA8">
              <w:rPr>
                <w:rFonts w:ascii="Verdana" w:hAnsi="Verdana"/>
                <w:b/>
                <w:bCs/>
                <w:lang w:val="sv-SE"/>
              </w:rPr>
              <w:t>Organklasse-system</w:t>
            </w:r>
          </w:p>
          <w:p w14:paraId="649C1E2E" w14:textId="2BB2592E" w:rsidR="00056CA8" w:rsidRPr="00860472" w:rsidRDefault="00056CA8" w:rsidP="00056CA8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lang w:val="sv-SE"/>
              </w:rPr>
            </w:pPr>
            <w:r w:rsidRPr="00860472">
              <w:rPr>
                <w:rFonts w:ascii="Verdana" w:hAnsi="Verdana"/>
                <w:lang w:val="sv-SE"/>
              </w:rPr>
              <w:t>(MedDRA-terminologi)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AC57" w14:textId="023222D6" w:rsidR="00056CA8" w:rsidRPr="004F59F6" w:rsidRDefault="00056CA8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8"/>
              <w:rPr>
                <w:rFonts w:ascii="Verdana" w:hAnsi="Verdana"/>
                <w:b/>
                <w:bCs/>
                <w:lang w:val="sv-SE"/>
              </w:rPr>
            </w:pPr>
            <w:r w:rsidRPr="00056CA8">
              <w:rPr>
                <w:rFonts w:ascii="Verdana" w:hAnsi="Verdana"/>
                <w:b/>
                <w:bCs/>
                <w:lang w:val="sv-SE"/>
              </w:rPr>
              <w:t>Lenvatinib som monoterapi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7973" w14:textId="1F4FDB20" w:rsidR="00056CA8" w:rsidRPr="004F59F6" w:rsidRDefault="00056CA8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6"/>
              <w:rPr>
                <w:rFonts w:ascii="Verdana" w:hAnsi="Verdana"/>
                <w:b/>
                <w:bCs/>
                <w:lang w:val="sv-SE"/>
              </w:rPr>
            </w:pPr>
            <w:r>
              <w:rPr>
                <w:rFonts w:ascii="Verdana" w:hAnsi="Verdana"/>
                <w:b/>
                <w:bCs/>
                <w:lang w:val="sv-SE"/>
              </w:rPr>
              <w:t>Kombinasjon med</w:t>
            </w:r>
            <w:r w:rsidRPr="004F59F6">
              <w:rPr>
                <w:rFonts w:ascii="Verdana" w:hAnsi="Verdana"/>
                <w:b/>
                <w:bCs/>
                <w:lang w:val="sv-SE"/>
              </w:rPr>
              <w:t xml:space="preserve"> everolimus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DD37" w14:textId="38392D2E" w:rsidR="00056CA8" w:rsidRPr="004F59F6" w:rsidRDefault="00056CA8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6"/>
              <w:rPr>
                <w:rFonts w:ascii="Verdana" w:hAnsi="Verdana"/>
                <w:b/>
                <w:bCs/>
                <w:lang w:val="sv-SE"/>
              </w:rPr>
            </w:pPr>
            <w:r>
              <w:rPr>
                <w:rFonts w:ascii="Verdana" w:hAnsi="Verdana"/>
                <w:b/>
                <w:bCs/>
                <w:lang w:val="sv-SE"/>
              </w:rPr>
              <w:t>Kombinasjon med</w:t>
            </w:r>
            <w:r w:rsidRPr="004F59F6">
              <w:rPr>
                <w:rFonts w:ascii="Verdana" w:hAnsi="Verdana"/>
                <w:b/>
                <w:bCs/>
                <w:lang w:val="sv-SE"/>
              </w:rPr>
              <w:t xml:space="preserve"> pembrolizumab</w:t>
            </w:r>
          </w:p>
        </w:tc>
      </w:tr>
      <w:tr w:rsidR="00FF44F3" w14:paraId="6A9305E2" w14:textId="77777777" w:rsidTr="00E2327A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F2F" w14:textId="24215F12" w:rsidR="00FF44F3" w:rsidRPr="004F59F6" w:rsidRDefault="00FF44F3" w:rsidP="00FF44F3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b/>
                <w:bCs/>
                <w:lang w:val="sv-SE"/>
              </w:rPr>
            </w:pPr>
            <w:r w:rsidRPr="00CC07E2">
              <w:rPr>
                <w:rFonts w:ascii="Verdana" w:hAnsi="Verdana"/>
                <w:b/>
                <w:bCs/>
                <w:lang w:val="sv-SE"/>
              </w:rPr>
              <w:t>Stoffskifte- og ernæringsbetingede sykdommer</w:t>
            </w:r>
          </w:p>
        </w:tc>
      </w:tr>
      <w:tr w:rsidR="00056CA8" w14:paraId="14810B4B" w14:textId="77777777" w:rsidTr="00E2327A">
        <w:trPr>
          <w:trHeight w:val="41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99F4" w14:textId="5A814D0B" w:rsidR="00056CA8" w:rsidRPr="004F59F6" w:rsidRDefault="00FF44F3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7"/>
              <w:rPr>
                <w:rFonts w:ascii="Verdana" w:hAnsi="Verdana"/>
                <w:spacing w:val="-2"/>
                <w:u w:val="single"/>
                <w:lang w:val="sv-SE"/>
              </w:rPr>
            </w:pPr>
            <w:r>
              <w:rPr>
                <w:rFonts w:ascii="Verdana" w:hAnsi="Verdana"/>
                <w:spacing w:val="-2"/>
                <w:u w:val="single"/>
                <w:lang w:val="sv-SE"/>
              </w:rPr>
              <w:t>Sjeldne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D9DD" w14:textId="607B1C54" w:rsidR="00056CA8" w:rsidRPr="004F59F6" w:rsidRDefault="00FF44F3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8"/>
              <w:rPr>
                <w:rFonts w:ascii="Verdana" w:hAnsi="Verdana"/>
                <w:spacing w:val="-2"/>
                <w:u w:val="single"/>
                <w:lang w:val="sv-SE"/>
              </w:rPr>
            </w:pPr>
            <w:r w:rsidRPr="00FF44F3">
              <w:rPr>
                <w:rFonts w:ascii="Verdana" w:hAnsi="Verdana"/>
                <w:spacing w:val="-2"/>
                <w:u w:val="single"/>
                <w:lang w:val="sv-SE"/>
              </w:rPr>
              <w:t>Tumorlysesyndrom†</w:t>
            </w:r>
            <w:r w:rsidR="00056CA8" w:rsidRPr="004F59F6">
              <w:rPr>
                <w:rFonts w:ascii="Verdana" w:hAnsi="Verdana"/>
              </w:rPr>
              <w:br/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E446" w14:textId="0EC0B528" w:rsidR="00056CA8" w:rsidRPr="004F59F6" w:rsidRDefault="00FF44F3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6"/>
              <w:rPr>
                <w:rFonts w:ascii="Verdana" w:hAnsi="Verdana"/>
                <w:spacing w:val="-2"/>
                <w:u w:val="single"/>
                <w:lang w:val="sv-SE"/>
              </w:rPr>
            </w:pPr>
            <w:r w:rsidRPr="00FF44F3">
              <w:rPr>
                <w:rFonts w:ascii="Verdana" w:hAnsi="Verdana"/>
                <w:spacing w:val="-2"/>
                <w:u w:val="single"/>
                <w:lang w:val="sv-SE"/>
              </w:rPr>
              <w:t>Tumorlysesyndrom†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4E55" w14:textId="0B2516D7" w:rsidR="00056CA8" w:rsidRPr="004F59F6" w:rsidRDefault="00FF44F3" w:rsidP="00E2327A">
            <w:pPr>
              <w:kinsoku w:val="0"/>
              <w:overflowPunct w:val="0"/>
              <w:autoSpaceDE w:val="0"/>
              <w:autoSpaceDN w:val="0"/>
              <w:adjustRightInd w:val="0"/>
              <w:spacing w:before="27"/>
              <w:ind w:left="106"/>
              <w:rPr>
                <w:rFonts w:ascii="Verdana" w:hAnsi="Verdana"/>
                <w:spacing w:val="-2"/>
                <w:u w:val="single"/>
                <w:lang w:val="sv-SE"/>
              </w:rPr>
            </w:pPr>
            <w:r w:rsidRPr="00FF44F3">
              <w:rPr>
                <w:rFonts w:ascii="Verdana" w:hAnsi="Verdana"/>
                <w:spacing w:val="-2"/>
                <w:u w:val="single"/>
                <w:lang w:val="sv-SE"/>
              </w:rPr>
              <w:t>Tumorlysesyndrom†</w:t>
            </w:r>
          </w:p>
        </w:tc>
      </w:tr>
    </w:tbl>
    <w:p w14:paraId="191FC9A3" w14:textId="61E17B50" w:rsidR="00056CA8" w:rsidRPr="00056CA8" w:rsidRDefault="00056CA8" w:rsidP="00D04F1C">
      <w:pPr>
        <w:pStyle w:val="BodytextAgency"/>
        <w:spacing w:before="120"/>
        <w:jc w:val="both"/>
        <w:rPr>
          <w:iCs/>
        </w:rPr>
      </w:pPr>
      <w:r w:rsidRPr="00056CA8">
        <w:rPr>
          <w:iCs/>
        </w:rPr>
        <w:t>†: Inkludert tilfeller med fatale utfall.</w:t>
      </w:r>
    </w:p>
    <w:p w14:paraId="2C802262" w14:textId="77777777" w:rsidR="00D04F1C" w:rsidRPr="006F1755" w:rsidRDefault="00D04F1C" w:rsidP="00D04F1C">
      <w:pPr>
        <w:pStyle w:val="BodytextAgency"/>
        <w:spacing w:before="120"/>
        <w:jc w:val="both"/>
        <w:rPr>
          <w:iCs/>
        </w:rPr>
      </w:pPr>
    </w:p>
    <w:p w14:paraId="4AB3D9A0" w14:textId="274DEE01" w:rsidR="00D04F1C" w:rsidRPr="00860472" w:rsidRDefault="006E7C5D" w:rsidP="00D04F1C">
      <w:pPr>
        <w:pStyle w:val="BodytextAgency"/>
        <w:spacing w:before="120"/>
        <w:jc w:val="both"/>
        <w:rPr>
          <w:b/>
          <w:bCs/>
          <w:iCs/>
        </w:rPr>
      </w:pPr>
      <w:r w:rsidRPr="00860472">
        <w:rPr>
          <w:b/>
          <w:bCs/>
          <w:iCs/>
        </w:rPr>
        <w:t>Pakningsvedlegg</w:t>
      </w:r>
    </w:p>
    <w:p w14:paraId="70B0A8A9" w14:textId="77777777" w:rsidR="00D04F1C" w:rsidRPr="00860472" w:rsidRDefault="00D04F1C" w:rsidP="00D04F1C">
      <w:pPr>
        <w:pStyle w:val="BodytextAgency"/>
        <w:spacing w:before="120"/>
        <w:jc w:val="both"/>
        <w:rPr>
          <w:iCs/>
        </w:rPr>
      </w:pPr>
      <w:r w:rsidRPr="00860472">
        <w:rPr>
          <w:iCs/>
        </w:rPr>
        <w:t xml:space="preserve">For </w:t>
      </w:r>
      <w:proofErr w:type="spellStart"/>
      <w:r w:rsidRPr="00860472">
        <w:rPr>
          <w:iCs/>
        </w:rPr>
        <w:t>Lenvima</w:t>
      </w:r>
      <w:proofErr w:type="spellEnd"/>
      <w:r w:rsidRPr="00860472">
        <w:rPr>
          <w:iCs/>
        </w:rPr>
        <w:t xml:space="preserve"> and </w:t>
      </w:r>
      <w:proofErr w:type="spellStart"/>
      <w:r w:rsidRPr="00860472">
        <w:rPr>
          <w:iCs/>
        </w:rPr>
        <w:t>Kisplyx</w:t>
      </w:r>
      <w:proofErr w:type="spellEnd"/>
      <w:r w:rsidRPr="00860472">
        <w:rPr>
          <w:iCs/>
        </w:rPr>
        <w:t>:</w:t>
      </w:r>
    </w:p>
    <w:p w14:paraId="7F4E73B2" w14:textId="0A5CEE43" w:rsidR="003F6D7E" w:rsidRDefault="00D04F1C" w:rsidP="00D04F1C">
      <w:pPr>
        <w:pStyle w:val="BodytextAgency"/>
        <w:spacing w:before="120"/>
        <w:jc w:val="both"/>
        <w:rPr>
          <w:iCs/>
        </w:rPr>
      </w:pPr>
      <w:r w:rsidRPr="00860472">
        <w:rPr>
          <w:iCs/>
        </w:rPr>
        <w:t xml:space="preserve">2. </w:t>
      </w:r>
      <w:r w:rsidR="003F6D7E" w:rsidRPr="00860472">
        <w:rPr>
          <w:iCs/>
        </w:rPr>
        <w:t>Hva du må vite før du bruker</w:t>
      </w:r>
      <w:r w:rsidRPr="00860472">
        <w:rPr>
          <w:iCs/>
        </w:rPr>
        <w:t xml:space="preserve"> &lt;x&gt;</w:t>
      </w:r>
    </w:p>
    <w:p w14:paraId="6442CC52" w14:textId="2922D358" w:rsidR="00860472" w:rsidRPr="00984B2D" w:rsidRDefault="00860472" w:rsidP="00D04F1C">
      <w:pPr>
        <w:pStyle w:val="BodytextAgency"/>
        <w:spacing w:before="120"/>
        <w:jc w:val="both"/>
        <w:rPr>
          <w:iCs/>
          <w:u w:val="single"/>
        </w:rPr>
      </w:pPr>
      <w:r w:rsidRPr="00984B2D">
        <w:rPr>
          <w:iCs/>
          <w:u w:val="single"/>
        </w:rPr>
        <w:t>Tilstander du bør se etter</w:t>
      </w:r>
    </w:p>
    <w:p w14:paraId="353E4593" w14:textId="6DB7837E" w:rsidR="00860472" w:rsidRPr="00984B2D" w:rsidRDefault="00860472" w:rsidP="00D04F1C">
      <w:pPr>
        <w:pStyle w:val="BodytextAgency"/>
        <w:spacing w:before="120"/>
        <w:jc w:val="both"/>
        <w:rPr>
          <w:iCs/>
          <w:u w:val="single"/>
        </w:rPr>
      </w:pPr>
      <w:r w:rsidRPr="00984B2D">
        <w:rPr>
          <w:iCs/>
          <w:u w:val="single"/>
        </w:rPr>
        <w:t xml:space="preserve">Under kreftbehandlingen din, kan nedbrytningen av tumorceller lekke stoffer inn i blodet som kan føre til en gruppe komplikasjoner kalt tumorlysesyndrom (TLS). Dette kan føre til forandringer i nyrene og kan være livstruende. Legen din vil overvåke </w:t>
      </w:r>
      <w:r w:rsidR="00984B2D" w:rsidRPr="00984B2D">
        <w:rPr>
          <w:iCs/>
          <w:u w:val="single"/>
        </w:rPr>
        <w:t>deg og gi deg behandling for å redusere risikoen. Snakk med legen umiddelbart dersom du opplever tegn på TLS (se avsnitt 4: Mulige bivirkninger).</w:t>
      </w:r>
    </w:p>
    <w:p w14:paraId="38F317A8" w14:textId="77777777" w:rsidR="00D04F1C" w:rsidRPr="00860472" w:rsidRDefault="00D04F1C" w:rsidP="00D04F1C">
      <w:pPr>
        <w:pStyle w:val="BodytextAgency"/>
        <w:spacing w:before="120"/>
        <w:jc w:val="both"/>
        <w:rPr>
          <w:iCs/>
          <w:lang w:val="en-US"/>
        </w:rPr>
      </w:pPr>
    </w:p>
    <w:p w14:paraId="60DF5A73" w14:textId="2A47F3A8" w:rsidR="00D04F1C" w:rsidRPr="00860472" w:rsidRDefault="00D04F1C" w:rsidP="00D04F1C">
      <w:pPr>
        <w:pStyle w:val="BodytextAgency"/>
        <w:spacing w:before="120"/>
        <w:jc w:val="both"/>
        <w:rPr>
          <w:iCs/>
        </w:rPr>
      </w:pPr>
      <w:r w:rsidRPr="00860472">
        <w:rPr>
          <w:iCs/>
        </w:rPr>
        <w:t xml:space="preserve">4. </w:t>
      </w:r>
      <w:r w:rsidR="003F6D7E" w:rsidRPr="00860472">
        <w:rPr>
          <w:iCs/>
        </w:rPr>
        <w:t>Mulige bivirkninger</w:t>
      </w:r>
    </w:p>
    <w:p w14:paraId="2F5F6E0D" w14:textId="77777777" w:rsidR="008B12BA" w:rsidRPr="00860472" w:rsidRDefault="008B12BA" w:rsidP="00D04F1C">
      <w:pPr>
        <w:pStyle w:val="BodytextAgency"/>
        <w:spacing w:before="120"/>
        <w:jc w:val="both"/>
        <w:rPr>
          <w:iCs/>
        </w:rPr>
      </w:pPr>
      <w:r w:rsidRPr="00860472">
        <w:rPr>
          <w:iCs/>
        </w:rPr>
        <w:t>Informer legen umiddelbart dersom du merker noen av følgende bivirkninger - du kan trenge medisinsk akuttbehandling:</w:t>
      </w:r>
    </w:p>
    <w:p w14:paraId="4734D93B" w14:textId="754A3D5D" w:rsidR="00984B2D" w:rsidRPr="00984B2D" w:rsidRDefault="00D04F1C" w:rsidP="00D04F1C">
      <w:pPr>
        <w:pStyle w:val="BodytextAgency"/>
        <w:spacing w:before="120"/>
        <w:jc w:val="both"/>
        <w:rPr>
          <w:iCs/>
        </w:rPr>
      </w:pPr>
      <w:r w:rsidRPr="00984B2D">
        <w:rPr>
          <w:iCs/>
        </w:rPr>
        <w:lastRenderedPageBreak/>
        <w:t>•</w:t>
      </w:r>
      <w:r w:rsidRPr="00984B2D">
        <w:rPr>
          <w:iCs/>
        </w:rPr>
        <w:tab/>
      </w:r>
      <w:r w:rsidR="00984B2D" w:rsidRPr="00984B2D">
        <w:rPr>
          <w:iCs/>
          <w:u w:val="single"/>
        </w:rPr>
        <w:t xml:space="preserve">kvalme, </w:t>
      </w:r>
      <w:proofErr w:type="spellStart"/>
      <w:r w:rsidR="00984B2D" w:rsidRPr="00984B2D">
        <w:rPr>
          <w:iCs/>
          <w:u w:val="single"/>
        </w:rPr>
        <w:t>kortpostethet</w:t>
      </w:r>
      <w:proofErr w:type="spellEnd"/>
      <w:r w:rsidR="00984B2D" w:rsidRPr="00984B2D">
        <w:rPr>
          <w:iCs/>
          <w:u w:val="single"/>
        </w:rPr>
        <w:t xml:space="preserve">, uregelmessig hjerterytme, muskelkramper, krampeanfall, </w:t>
      </w:r>
      <w:r w:rsidR="00984B2D">
        <w:rPr>
          <w:iCs/>
          <w:u w:val="single"/>
        </w:rPr>
        <w:t>tåkete</w:t>
      </w:r>
      <w:r w:rsidR="00984B2D" w:rsidRPr="00984B2D">
        <w:rPr>
          <w:iCs/>
          <w:u w:val="single"/>
        </w:rPr>
        <w:t xml:space="preserve"> urin og tretthet. Disse symptomene kan være komplikasjoner som skyldes nedbrytningsprodukter </w:t>
      </w:r>
      <w:r w:rsidR="00984B2D">
        <w:rPr>
          <w:iCs/>
          <w:u w:val="single"/>
        </w:rPr>
        <w:t>fra</w:t>
      </w:r>
      <w:r w:rsidR="00984B2D" w:rsidRPr="00984B2D">
        <w:rPr>
          <w:iCs/>
          <w:u w:val="single"/>
        </w:rPr>
        <w:t xml:space="preserve"> døende kreftceller og er kjent som tumorlysesyndrom (TLS).</w:t>
      </w:r>
    </w:p>
    <w:p w14:paraId="35143A57" w14:textId="5A4C28F0" w:rsidR="008A1C1A" w:rsidRPr="008A1C1A" w:rsidRDefault="00D04F1C" w:rsidP="00D04F1C">
      <w:pPr>
        <w:pStyle w:val="BodytextAgency"/>
        <w:spacing w:before="120"/>
        <w:jc w:val="both"/>
        <w:rPr>
          <w:iCs/>
        </w:rPr>
      </w:pPr>
      <w:r w:rsidRPr="008A1C1A">
        <w:rPr>
          <w:iCs/>
        </w:rPr>
        <w:t xml:space="preserve">TLS </w:t>
      </w:r>
      <w:r w:rsidR="00731258">
        <w:rPr>
          <w:iCs/>
        </w:rPr>
        <w:t>skal</w:t>
      </w:r>
      <w:r w:rsidR="008A1C1A" w:rsidRPr="008A1C1A">
        <w:rPr>
          <w:iCs/>
        </w:rPr>
        <w:t xml:space="preserve"> legges til a</w:t>
      </w:r>
      <w:r w:rsidR="008A1C1A">
        <w:rPr>
          <w:iCs/>
        </w:rPr>
        <w:t xml:space="preserve">vsnitt, der det er relevant, av "når </w:t>
      </w:r>
      <w:r w:rsidR="00731258">
        <w:rPr>
          <w:iCs/>
        </w:rPr>
        <w:t>det gis</w:t>
      </w:r>
      <w:r w:rsidR="008A1C1A">
        <w:rPr>
          <w:iCs/>
        </w:rPr>
        <w:t xml:space="preserve"> alene", "når det gis i kombinasjon med </w:t>
      </w:r>
      <w:proofErr w:type="spellStart"/>
      <w:r w:rsidR="008A1C1A">
        <w:rPr>
          <w:iCs/>
        </w:rPr>
        <w:t>everolimus</w:t>
      </w:r>
      <w:proofErr w:type="spellEnd"/>
      <w:r w:rsidR="008A1C1A">
        <w:rPr>
          <w:iCs/>
        </w:rPr>
        <w:t xml:space="preserve">" og "når </w:t>
      </w:r>
      <w:r w:rsidR="00731258">
        <w:rPr>
          <w:iCs/>
        </w:rPr>
        <w:t xml:space="preserve">det </w:t>
      </w:r>
      <w:r w:rsidR="008A1C1A">
        <w:rPr>
          <w:iCs/>
        </w:rPr>
        <w:t>gi</w:t>
      </w:r>
      <w:r w:rsidR="00731258">
        <w:rPr>
          <w:iCs/>
        </w:rPr>
        <w:t xml:space="preserve">s i kombinasjon </w:t>
      </w:r>
      <w:r w:rsidR="008A1C1A">
        <w:rPr>
          <w:iCs/>
        </w:rPr>
        <w:t xml:space="preserve">med </w:t>
      </w:r>
      <w:proofErr w:type="spellStart"/>
      <w:r w:rsidR="00C3728D">
        <w:rPr>
          <w:iCs/>
        </w:rPr>
        <w:t>pembrolizumab</w:t>
      </w:r>
      <w:proofErr w:type="spellEnd"/>
      <w:r w:rsidR="00C3728D">
        <w:rPr>
          <w:iCs/>
        </w:rPr>
        <w:t>".</w:t>
      </w:r>
    </w:p>
    <w:p w14:paraId="1A4664F8" w14:textId="3EB433B8" w:rsidR="00D04F1C" w:rsidRPr="00860472" w:rsidRDefault="00D361BF" w:rsidP="00D04F1C">
      <w:pPr>
        <w:pStyle w:val="BodytextAgency"/>
        <w:spacing w:before="120"/>
        <w:jc w:val="both"/>
        <w:rPr>
          <w:iCs/>
        </w:rPr>
      </w:pPr>
      <w:r w:rsidRPr="00860472">
        <w:rPr>
          <w:iCs/>
        </w:rPr>
        <w:t>Sjeldne</w:t>
      </w:r>
      <w:r w:rsidR="00D04F1C" w:rsidRPr="00860472">
        <w:rPr>
          <w:iCs/>
        </w:rPr>
        <w:t xml:space="preserve"> (</w:t>
      </w:r>
      <w:r w:rsidRPr="00860472">
        <w:rPr>
          <w:iCs/>
        </w:rPr>
        <w:t>kan forekomme hos opptil</w:t>
      </w:r>
      <w:r w:rsidR="00D04F1C" w:rsidRPr="00860472">
        <w:rPr>
          <w:iCs/>
        </w:rPr>
        <w:t xml:space="preserve"> 1 </w:t>
      </w:r>
      <w:r w:rsidRPr="00860472">
        <w:rPr>
          <w:iCs/>
        </w:rPr>
        <w:t>av</w:t>
      </w:r>
      <w:r w:rsidR="00D04F1C" w:rsidRPr="00860472">
        <w:rPr>
          <w:iCs/>
        </w:rPr>
        <w:t xml:space="preserve"> </w:t>
      </w:r>
      <w:r w:rsidRPr="00860472">
        <w:rPr>
          <w:iCs/>
        </w:rPr>
        <w:t>1</w:t>
      </w:r>
      <w:r w:rsidR="00D04F1C" w:rsidRPr="00860472">
        <w:rPr>
          <w:iCs/>
        </w:rPr>
        <w:t>00</w:t>
      </w:r>
      <w:r w:rsidRPr="00860472">
        <w:rPr>
          <w:iCs/>
        </w:rPr>
        <w:t>0 person</w:t>
      </w:r>
      <w:r w:rsidR="00D04F1C" w:rsidRPr="00860472">
        <w:rPr>
          <w:iCs/>
        </w:rPr>
        <w:t>e</w:t>
      </w:r>
      <w:r w:rsidRPr="00860472">
        <w:rPr>
          <w:iCs/>
        </w:rPr>
        <w:t>r</w:t>
      </w:r>
      <w:r w:rsidR="00D04F1C" w:rsidRPr="00860472">
        <w:rPr>
          <w:iCs/>
        </w:rPr>
        <w:t>)</w:t>
      </w:r>
    </w:p>
    <w:p w14:paraId="73BDB1B5" w14:textId="7DBB6BDB" w:rsidR="00D04F1C" w:rsidRPr="00D04F1C" w:rsidRDefault="00D04F1C" w:rsidP="00D04F1C">
      <w:pPr>
        <w:pStyle w:val="BodytextAgency"/>
        <w:spacing w:before="120"/>
        <w:jc w:val="both"/>
        <w:rPr>
          <w:iCs/>
        </w:rPr>
      </w:pPr>
      <w:r w:rsidRPr="00860472">
        <w:rPr>
          <w:iCs/>
        </w:rPr>
        <w:t>•</w:t>
      </w:r>
      <w:r w:rsidRPr="00860472">
        <w:rPr>
          <w:iCs/>
        </w:rPr>
        <w:tab/>
      </w:r>
      <w:r w:rsidR="003F6D7E" w:rsidRPr="00984B2D">
        <w:rPr>
          <w:iCs/>
          <w:u w:val="single"/>
        </w:rPr>
        <w:t>Tumorlysesyndrom</w:t>
      </w:r>
      <w:r w:rsidRPr="00984B2D">
        <w:rPr>
          <w:iCs/>
          <w:u w:val="single"/>
        </w:rPr>
        <w:t xml:space="preserve"> (TLS)</w:t>
      </w:r>
    </w:p>
    <w:p w14:paraId="3B73E72C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6B20CCBF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2C191A1F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15307B03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156FCD39" w14:textId="77777777" w:rsidR="005D5B84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p w14:paraId="6A73DF81" w14:textId="77777777" w:rsidR="005D5B84" w:rsidRPr="003075BD" w:rsidRDefault="005D5B84" w:rsidP="00D533D0">
      <w:pPr>
        <w:pStyle w:val="BodytextAgency"/>
        <w:spacing w:before="120"/>
        <w:jc w:val="both"/>
        <w:rPr>
          <w:b/>
          <w:bCs/>
          <w:iCs/>
        </w:rPr>
      </w:pPr>
    </w:p>
    <w:sectPr w:rsidR="005D5B84" w:rsidRPr="003075BD" w:rsidSect="00C7258D"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B1D2" w14:textId="77777777" w:rsidR="001869B1" w:rsidRDefault="001869B1">
      <w:r>
        <w:separator/>
      </w:r>
    </w:p>
  </w:endnote>
  <w:endnote w:type="continuationSeparator" w:id="0">
    <w:p w14:paraId="216051C9" w14:textId="77777777" w:rsidR="001869B1" w:rsidRDefault="001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72AE0" w14:paraId="0DB1CCDA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B1CCD9" w14:textId="77777777" w:rsidR="005C04A5" w:rsidRDefault="005C04A5">
          <w:pPr>
            <w:pStyle w:val="FooterAgency"/>
          </w:pPr>
        </w:p>
      </w:tc>
    </w:tr>
    <w:tr w:rsidR="00872AE0" w:rsidRPr="00DE4C8A" w14:paraId="0DB1CCDD" w14:textId="77777777">
      <w:tc>
        <w:tcPr>
          <w:tcW w:w="3291" w:type="pct"/>
          <w:tcMar>
            <w:left w:w="0" w:type="dxa"/>
            <w:right w:w="0" w:type="dxa"/>
          </w:tcMar>
        </w:tcPr>
        <w:p w14:paraId="0DB1CCDB" w14:textId="2FDA4EFF" w:rsidR="005C04A5" w:rsidRPr="00DE4C8A" w:rsidRDefault="009829D4">
          <w:pPr>
            <w:pStyle w:val="FooterAgency"/>
          </w:pPr>
          <w:r>
            <w:rPr>
              <w:szCs w:val="15"/>
            </w:rPr>
            <w:fldChar w:fldCharType="begin"/>
          </w:r>
          <w:r w:rsidRPr="00DE4C8A">
            <w:rPr>
              <w:szCs w:val="15"/>
            </w:rPr>
            <w:instrText xml:space="preserve"> IF 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731258" w:rsidRPr="00731258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&lt;&gt; "Error*"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731258" w:rsidRPr="00731258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731258" w:rsidRPr="00731258">
            <w:rPr>
              <w:noProof/>
            </w:rPr>
            <w:t>Oppdatering av produktinformasjon - Anbefaling fra PRAC etter signalutredning</w:t>
          </w:r>
          <w:r>
            <w:rPr>
              <w:szCs w:val="15"/>
            </w:rPr>
            <w:fldChar w:fldCharType="end"/>
          </w:r>
          <w:r w:rsidRPr="00DE4C8A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C" w14:textId="77777777" w:rsidR="005C04A5" w:rsidRPr="00DE4C8A" w:rsidRDefault="005C04A5">
          <w:pPr>
            <w:pStyle w:val="FooterAgency"/>
          </w:pPr>
        </w:p>
      </w:tc>
    </w:tr>
    <w:tr w:rsidR="00D04F1C" w14:paraId="0DB1CCE0" w14:textId="77777777">
      <w:tc>
        <w:tcPr>
          <w:tcW w:w="3291" w:type="pct"/>
          <w:tcMar>
            <w:left w:w="0" w:type="dxa"/>
            <w:right w:w="0" w:type="dxa"/>
          </w:tcMar>
        </w:tcPr>
        <w:p w14:paraId="0DB1CCDE" w14:textId="6946C9A6" w:rsidR="00D04F1C" w:rsidRDefault="00D04F1C" w:rsidP="00D04F1C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5C04A5">
            <w:rPr>
              <w:lang w:val="en-GB"/>
            </w:rPr>
            <w:fldChar w:fldCharType="begin"/>
          </w:r>
          <w:r>
            <w:instrText xml:space="preserve"> DOCPROPERTY "DM_emea_doc_ref_id"  \* MERGEFORMAT </w:instrText>
          </w:r>
          <w:r w:rsidRPr="005C04A5">
            <w:rPr>
              <w:lang w:val="en-GB"/>
            </w:rPr>
            <w:fldChar w:fldCharType="separate"/>
          </w:r>
          <w:r w:rsidRPr="005C04A5">
            <w:rPr>
              <w:b/>
              <w:bCs/>
              <w:lang w:val="en-US"/>
            </w:rPr>
            <w:instrText>EMA/PRAC/6379/2025</w:instrText>
          </w:r>
          <w:r w:rsidRPr="005C04A5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>EMA/PRAC/6379/2025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EMA/PRAC/6379/2025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F" w14:textId="77777777" w:rsidR="00D04F1C" w:rsidRDefault="00D04F1C" w:rsidP="00D04F1C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DB1CCE1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72AE0" w14:paraId="0DB1CCE4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B1CCE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ED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DB1CCE5" w14:textId="77777777" w:rsidR="005C04A5" w:rsidRPr="00333F3F" w:rsidRDefault="009829D4">
          <w:pPr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Official address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Domenico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Scarlattilaan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6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1083 HS Amsterdam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63"/>
            <w:gridCol w:w="729"/>
          </w:tblGrid>
          <w:tr w:rsidR="00872AE0" w14:paraId="0DB1CCE8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B1CCE6" w14:textId="77777777" w:rsidR="005C04A5" w:rsidRPr="00333F3F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color w:val="6D6F71"/>
                    <w:sz w:val="11"/>
                    <w:szCs w:val="11"/>
                    <w:lang w:val="en-US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0DB1CCE7" w14:textId="77777777" w:rsidR="005C04A5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DB1CCFD" wp14:editId="0DB1CCFE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72AE0" w14:paraId="0DB1CCEB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DB1CCE9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0DB1CCEA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DB1CCEC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5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72AE0" w:rsidRPr="006F1755" w14:paraId="0DB1CCEF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0DB1CCEE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>Address for visits and deliveries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 Refer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www.ema.europa.eu/how-to-find-us </w:t>
                </w:r>
              </w:p>
            </w:tc>
          </w:tr>
          <w:tr w:rsidR="00872AE0" w14:paraId="0DB1CCF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DB1CCF0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Send us a question  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Go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B1CCF1" w14:textId="77777777" w:rsidR="005C04A5" w:rsidRDefault="009829D4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0DB1CCF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DB1CCF4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6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:rsidRPr="006F1755" w14:paraId="0DB1CCF9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8" w14:textId="7A38DCC3" w:rsidR="005C04A5" w:rsidRPr="00333F3F" w:rsidRDefault="009829D4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© European Medicines Agency, </w:t>
          </w:r>
          <w:r w:rsidR="00AE2DA1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202</w:t>
          </w:r>
          <w:r w:rsidR="00D04F1C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5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. Reproduction is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authorised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provided the source is acknowledged.</w:t>
          </w:r>
        </w:p>
      </w:tc>
    </w:tr>
  </w:tbl>
  <w:p w14:paraId="0DB1CCFA" w14:textId="77777777" w:rsidR="005C04A5" w:rsidRPr="00333F3F" w:rsidRDefault="005C04A5" w:rsidP="005C04A5">
    <w:pPr>
      <w:pStyle w:val="FooterAgency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4758" w14:textId="77777777" w:rsidR="001869B1" w:rsidRDefault="001869B1">
      <w:r>
        <w:separator/>
      </w:r>
    </w:p>
  </w:footnote>
  <w:footnote w:type="continuationSeparator" w:id="0">
    <w:p w14:paraId="319DAF40" w14:textId="77777777" w:rsidR="001869B1" w:rsidRDefault="0018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CE2" w14:textId="77777777" w:rsidR="005C04A5" w:rsidRDefault="009829D4" w:rsidP="00B636AF">
    <w:pPr>
      <w:pStyle w:val="HeaderAgency"/>
      <w:jc w:val="center"/>
    </w:pPr>
    <w:r>
      <w:rPr>
        <w:noProof/>
      </w:rPr>
      <w:drawing>
        <wp:inline distT="0" distB="0" distL="0" distR="0" wp14:anchorId="0DB1CCFB" wp14:editId="0DB1CCFC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464C1778"/>
    <w:multiLevelType w:val="hybridMultilevel"/>
    <w:tmpl w:val="F39E7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6D7BE3"/>
    <w:multiLevelType w:val="hybridMultilevel"/>
    <w:tmpl w:val="87286986"/>
    <w:lvl w:ilvl="0" w:tplc="1736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4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120219491">
    <w:abstractNumId w:val="1"/>
  </w:num>
  <w:num w:numId="2" w16cid:durableId="864443425">
    <w:abstractNumId w:val="4"/>
  </w:num>
  <w:num w:numId="3" w16cid:durableId="2099981246">
    <w:abstractNumId w:val="3"/>
  </w:num>
  <w:num w:numId="4" w16cid:durableId="408886589">
    <w:abstractNumId w:val="2"/>
  </w:num>
  <w:num w:numId="5" w16cid:durableId="1725565043">
    <w:abstractNumId w:val="8"/>
  </w:num>
  <w:num w:numId="6" w16cid:durableId="786654715">
    <w:abstractNumId w:val="6"/>
  </w:num>
  <w:num w:numId="7" w16cid:durableId="636840599">
    <w:abstractNumId w:val="0"/>
  </w:num>
  <w:num w:numId="8" w16cid:durableId="1188561507">
    <w:abstractNumId w:val="8"/>
  </w:num>
  <w:num w:numId="9" w16cid:durableId="1787116205">
    <w:abstractNumId w:val="7"/>
  </w:num>
  <w:num w:numId="10" w16cid:durableId="535310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6A65"/>
    <w:rsid w:val="00006BE9"/>
    <w:rsid w:val="00007362"/>
    <w:rsid w:val="000137EF"/>
    <w:rsid w:val="00014C20"/>
    <w:rsid w:val="00015A27"/>
    <w:rsid w:val="00015B6C"/>
    <w:rsid w:val="0001787D"/>
    <w:rsid w:val="00020E94"/>
    <w:rsid w:val="0002497A"/>
    <w:rsid w:val="000258C4"/>
    <w:rsid w:val="00027FC1"/>
    <w:rsid w:val="00034C7D"/>
    <w:rsid w:val="00034D76"/>
    <w:rsid w:val="00041293"/>
    <w:rsid w:val="000417CA"/>
    <w:rsid w:val="000434BD"/>
    <w:rsid w:val="0004472F"/>
    <w:rsid w:val="00045BBC"/>
    <w:rsid w:val="000461DF"/>
    <w:rsid w:val="00053DC6"/>
    <w:rsid w:val="00054F28"/>
    <w:rsid w:val="00056CA8"/>
    <w:rsid w:val="000573A8"/>
    <w:rsid w:val="00060136"/>
    <w:rsid w:val="000630B6"/>
    <w:rsid w:val="00065BBE"/>
    <w:rsid w:val="000667B8"/>
    <w:rsid w:val="0006691F"/>
    <w:rsid w:val="00070471"/>
    <w:rsid w:val="00080A10"/>
    <w:rsid w:val="00081A3E"/>
    <w:rsid w:val="00085A04"/>
    <w:rsid w:val="00086C6D"/>
    <w:rsid w:val="00087732"/>
    <w:rsid w:val="00087F19"/>
    <w:rsid w:val="000911E7"/>
    <w:rsid w:val="000925F6"/>
    <w:rsid w:val="00095ED0"/>
    <w:rsid w:val="000964F5"/>
    <w:rsid w:val="000966E2"/>
    <w:rsid w:val="0009708C"/>
    <w:rsid w:val="000B13FC"/>
    <w:rsid w:val="000B1CCC"/>
    <w:rsid w:val="000B48FF"/>
    <w:rsid w:val="000B5A28"/>
    <w:rsid w:val="000B7EE2"/>
    <w:rsid w:val="000C290B"/>
    <w:rsid w:val="000C3D04"/>
    <w:rsid w:val="000C5C29"/>
    <w:rsid w:val="000C61C7"/>
    <w:rsid w:val="000D2735"/>
    <w:rsid w:val="000D312B"/>
    <w:rsid w:val="000D4E31"/>
    <w:rsid w:val="000D55D8"/>
    <w:rsid w:val="000D6DAF"/>
    <w:rsid w:val="000E1DCC"/>
    <w:rsid w:val="000E2DF5"/>
    <w:rsid w:val="000E440D"/>
    <w:rsid w:val="000E5AFE"/>
    <w:rsid w:val="000F29E0"/>
    <w:rsid w:val="000F30D1"/>
    <w:rsid w:val="000F4FF5"/>
    <w:rsid w:val="000F5370"/>
    <w:rsid w:val="000F7D69"/>
    <w:rsid w:val="0010021B"/>
    <w:rsid w:val="001032D3"/>
    <w:rsid w:val="0010550B"/>
    <w:rsid w:val="00107593"/>
    <w:rsid w:val="00110BAC"/>
    <w:rsid w:val="001114E5"/>
    <w:rsid w:val="00111AA3"/>
    <w:rsid w:val="00114237"/>
    <w:rsid w:val="00121F63"/>
    <w:rsid w:val="00122C28"/>
    <w:rsid w:val="00124AD3"/>
    <w:rsid w:val="001254D9"/>
    <w:rsid w:val="00127175"/>
    <w:rsid w:val="0012797F"/>
    <w:rsid w:val="00132845"/>
    <w:rsid w:val="00135BC0"/>
    <w:rsid w:val="00137B2D"/>
    <w:rsid w:val="00142EF8"/>
    <w:rsid w:val="00144208"/>
    <w:rsid w:val="001443BB"/>
    <w:rsid w:val="00145C4C"/>
    <w:rsid w:val="001462D1"/>
    <w:rsid w:val="001503FB"/>
    <w:rsid w:val="001522D3"/>
    <w:rsid w:val="001530EC"/>
    <w:rsid w:val="00153F22"/>
    <w:rsid w:val="00161C0F"/>
    <w:rsid w:val="00162A71"/>
    <w:rsid w:val="00165EEE"/>
    <w:rsid w:val="00166E32"/>
    <w:rsid w:val="001703A8"/>
    <w:rsid w:val="001711DA"/>
    <w:rsid w:val="00171291"/>
    <w:rsid w:val="001715B2"/>
    <w:rsid w:val="00172652"/>
    <w:rsid w:val="00172E42"/>
    <w:rsid w:val="00174F37"/>
    <w:rsid w:val="00175AFE"/>
    <w:rsid w:val="0017699A"/>
    <w:rsid w:val="001856FF"/>
    <w:rsid w:val="001869B1"/>
    <w:rsid w:val="00186CB6"/>
    <w:rsid w:val="00187CE7"/>
    <w:rsid w:val="00187CF2"/>
    <w:rsid w:val="00190B98"/>
    <w:rsid w:val="00195217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875"/>
    <w:rsid w:val="001D0CAF"/>
    <w:rsid w:val="001D1343"/>
    <w:rsid w:val="001D19C3"/>
    <w:rsid w:val="001D5CA1"/>
    <w:rsid w:val="001D742D"/>
    <w:rsid w:val="001D7465"/>
    <w:rsid w:val="001E313F"/>
    <w:rsid w:val="001E4ED4"/>
    <w:rsid w:val="001E736A"/>
    <w:rsid w:val="001F01BC"/>
    <w:rsid w:val="001F1500"/>
    <w:rsid w:val="001F28C1"/>
    <w:rsid w:val="001F678E"/>
    <w:rsid w:val="001F6C21"/>
    <w:rsid w:val="00202B2C"/>
    <w:rsid w:val="00205CC0"/>
    <w:rsid w:val="00206017"/>
    <w:rsid w:val="00207C64"/>
    <w:rsid w:val="00210758"/>
    <w:rsid w:val="0021571D"/>
    <w:rsid w:val="00221A64"/>
    <w:rsid w:val="00221B07"/>
    <w:rsid w:val="0022453D"/>
    <w:rsid w:val="00226FC5"/>
    <w:rsid w:val="0023409C"/>
    <w:rsid w:val="002345E3"/>
    <w:rsid w:val="00235160"/>
    <w:rsid w:val="00236066"/>
    <w:rsid w:val="00236984"/>
    <w:rsid w:val="0024073A"/>
    <w:rsid w:val="002425B9"/>
    <w:rsid w:val="00243C8D"/>
    <w:rsid w:val="00244AC6"/>
    <w:rsid w:val="00245798"/>
    <w:rsid w:val="0025385F"/>
    <w:rsid w:val="00254317"/>
    <w:rsid w:val="0025490F"/>
    <w:rsid w:val="00255252"/>
    <w:rsid w:val="00255EE4"/>
    <w:rsid w:val="00257897"/>
    <w:rsid w:val="00261EA0"/>
    <w:rsid w:val="002642A0"/>
    <w:rsid w:val="00267C9F"/>
    <w:rsid w:val="002708E8"/>
    <w:rsid w:val="00271C09"/>
    <w:rsid w:val="00273A65"/>
    <w:rsid w:val="0028187A"/>
    <w:rsid w:val="00281D27"/>
    <w:rsid w:val="00281DE1"/>
    <w:rsid w:val="002847BA"/>
    <w:rsid w:val="002903BF"/>
    <w:rsid w:val="00290477"/>
    <w:rsid w:val="0029114A"/>
    <w:rsid w:val="00297CAD"/>
    <w:rsid w:val="002A08F0"/>
    <w:rsid w:val="002A35ED"/>
    <w:rsid w:val="002A5270"/>
    <w:rsid w:val="002A7794"/>
    <w:rsid w:val="002B06B0"/>
    <w:rsid w:val="002B0CF6"/>
    <w:rsid w:val="002B15CD"/>
    <w:rsid w:val="002B2A72"/>
    <w:rsid w:val="002B2EC3"/>
    <w:rsid w:val="002B3053"/>
    <w:rsid w:val="002B5853"/>
    <w:rsid w:val="002B7B4B"/>
    <w:rsid w:val="002C0FEB"/>
    <w:rsid w:val="002C164D"/>
    <w:rsid w:val="002C3786"/>
    <w:rsid w:val="002C42D0"/>
    <w:rsid w:val="002C5B12"/>
    <w:rsid w:val="002C7E37"/>
    <w:rsid w:val="002D0D33"/>
    <w:rsid w:val="002D487A"/>
    <w:rsid w:val="002D5A4B"/>
    <w:rsid w:val="002D6CCD"/>
    <w:rsid w:val="002D7502"/>
    <w:rsid w:val="002E0467"/>
    <w:rsid w:val="002E6645"/>
    <w:rsid w:val="002E6AD5"/>
    <w:rsid w:val="002E7ADC"/>
    <w:rsid w:val="002F417D"/>
    <w:rsid w:val="002F4879"/>
    <w:rsid w:val="002F5311"/>
    <w:rsid w:val="002F605E"/>
    <w:rsid w:val="002F688A"/>
    <w:rsid w:val="00303C07"/>
    <w:rsid w:val="003075BD"/>
    <w:rsid w:val="00311703"/>
    <w:rsid w:val="00315B7D"/>
    <w:rsid w:val="00316F94"/>
    <w:rsid w:val="00317857"/>
    <w:rsid w:val="0032022C"/>
    <w:rsid w:val="003216B6"/>
    <w:rsid w:val="00321DB2"/>
    <w:rsid w:val="00325DC0"/>
    <w:rsid w:val="00326266"/>
    <w:rsid w:val="0033146E"/>
    <w:rsid w:val="00331B16"/>
    <w:rsid w:val="003324DD"/>
    <w:rsid w:val="00333F3F"/>
    <w:rsid w:val="00340F7E"/>
    <w:rsid w:val="00343070"/>
    <w:rsid w:val="003438DC"/>
    <w:rsid w:val="0034400B"/>
    <w:rsid w:val="00344895"/>
    <w:rsid w:val="00345C0E"/>
    <w:rsid w:val="00345D6E"/>
    <w:rsid w:val="00352EBE"/>
    <w:rsid w:val="003549C1"/>
    <w:rsid w:val="00356BC6"/>
    <w:rsid w:val="00361069"/>
    <w:rsid w:val="00362DE5"/>
    <w:rsid w:val="00363356"/>
    <w:rsid w:val="00364F80"/>
    <w:rsid w:val="00371200"/>
    <w:rsid w:val="00371986"/>
    <w:rsid w:val="003735A5"/>
    <w:rsid w:val="003752FD"/>
    <w:rsid w:val="0037572B"/>
    <w:rsid w:val="003830A3"/>
    <w:rsid w:val="00385855"/>
    <w:rsid w:val="00391DDC"/>
    <w:rsid w:val="00392269"/>
    <w:rsid w:val="0039287D"/>
    <w:rsid w:val="00395133"/>
    <w:rsid w:val="003960DB"/>
    <w:rsid w:val="00396463"/>
    <w:rsid w:val="003A4761"/>
    <w:rsid w:val="003A6DF1"/>
    <w:rsid w:val="003A70B2"/>
    <w:rsid w:val="003A7E95"/>
    <w:rsid w:val="003B185A"/>
    <w:rsid w:val="003B2642"/>
    <w:rsid w:val="003B5F0C"/>
    <w:rsid w:val="003C1473"/>
    <w:rsid w:val="003C343C"/>
    <w:rsid w:val="003D1CC6"/>
    <w:rsid w:val="003D2280"/>
    <w:rsid w:val="003D24BE"/>
    <w:rsid w:val="003D3DAE"/>
    <w:rsid w:val="003D5D68"/>
    <w:rsid w:val="003D71FB"/>
    <w:rsid w:val="003E1AEE"/>
    <w:rsid w:val="003F18A7"/>
    <w:rsid w:val="003F6752"/>
    <w:rsid w:val="003F6D7E"/>
    <w:rsid w:val="00411700"/>
    <w:rsid w:val="00412345"/>
    <w:rsid w:val="00413E85"/>
    <w:rsid w:val="004200E5"/>
    <w:rsid w:val="00420842"/>
    <w:rsid w:val="00421CF0"/>
    <w:rsid w:val="004228EF"/>
    <w:rsid w:val="004253C8"/>
    <w:rsid w:val="004261EA"/>
    <w:rsid w:val="004269CE"/>
    <w:rsid w:val="004303A9"/>
    <w:rsid w:val="00433DD4"/>
    <w:rsid w:val="0043722B"/>
    <w:rsid w:val="00440CB0"/>
    <w:rsid w:val="004421C1"/>
    <w:rsid w:val="00443B25"/>
    <w:rsid w:val="004442BC"/>
    <w:rsid w:val="00444609"/>
    <w:rsid w:val="004453D7"/>
    <w:rsid w:val="00446C89"/>
    <w:rsid w:val="00451B8D"/>
    <w:rsid w:val="00462697"/>
    <w:rsid w:val="00462FA5"/>
    <w:rsid w:val="00463B43"/>
    <w:rsid w:val="00464E7D"/>
    <w:rsid w:val="00471E38"/>
    <w:rsid w:val="004724AA"/>
    <w:rsid w:val="004733DA"/>
    <w:rsid w:val="004817B1"/>
    <w:rsid w:val="0048381D"/>
    <w:rsid w:val="0048434A"/>
    <w:rsid w:val="00484479"/>
    <w:rsid w:val="00486D17"/>
    <w:rsid w:val="00487D93"/>
    <w:rsid w:val="004901DA"/>
    <w:rsid w:val="00490621"/>
    <w:rsid w:val="0049243F"/>
    <w:rsid w:val="0049662E"/>
    <w:rsid w:val="00496B5E"/>
    <w:rsid w:val="00497DAC"/>
    <w:rsid w:val="004A018D"/>
    <w:rsid w:val="004A1674"/>
    <w:rsid w:val="004B1547"/>
    <w:rsid w:val="004B5839"/>
    <w:rsid w:val="004C195A"/>
    <w:rsid w:val="004C1D5E"/>
    <w:rsid w:val="004C21F9"/>
    <w:rsid w:val="004C2F2D"/>
    <w:rsid w:val="004C3C9F"/>
    <w:rsid w:val="004C495D"/>
    <w:rsid w:val="004D0272"/>
    <w:rsid w:val="004D4CB8"/>
    <w:rsid w:val="004E1076"/>
    <w:rsid w:val="004E3091"/>
    <w:rsid w:val="004F435A"/>
    <w:rsid w:val="004F5A00"/>
    <w:rsid w:val="00500FE1"/>
    <w:rsid w:val="005015A0"/>
    <w:rsid w:val="0050434A"/>
    <w:rsid w:val="005124A0"/>
    <w:rsid w:val="0051281A"/>
    <w:rsid w:val="00512F9C"/>
    <w:rsid w:val="00514025"/>
    <w:rsid w:val="00514A44"/>
    <w:rsid w:val="00517C89"/>
    <w:rsid w:val="005235F7"/>
    <w:rsid w:val="005258EA"/>
    <w:rsid w:val="00527E47"/>
    <w:rsid w:val="00544AF5"/>
    <w:rsid w:val="00546108"/>
    <w:rsid w:val="00547B66"/>
    <w:rsid w:val="00552738"/>
    <w:rsid w:val="005545C4"/>
    <w:rsid w:val="00554A07"/>
    <w:rsid w:val="0055637C"/>
    <w:rsid w:val="00564B47"/>
    <w:rsid w:val="00570E67"/>
    <w:rsid w:val="00574E06"/>
    <w:rsid w:val="00576BDD"/>
    <w:rsid w:val="00581219"/>
    <w:rsid w:val="005837A4"/>
    <w:rsid w:val="0058521E"/>
    <w:rsid w:val="00585874"/>
    <w:rsid w:val="00590E54"/>
    <w:rsid w:val="005936D5"/>
    <w:rsid w:val="00595093"/>
    <w:rsid w:val="0059521F"/>
    <w:rsid w:val="0059549F"/>
    <w:rsid w:val="005A16DF"/>
    <w:rsid w:val="005A3A10"/>
    <w:rsid w:val="005A55A9"/>
    <w:rsid w:val="005A60C9"/>
    <w:rsid w:val="005A6B19"/>
    <w:rsid w:val="005A79E2"/>
    <w:rsid w:val="005B327E"/>
    <w:rsid w:val="005B34A9"/>
    <w:rsid w:val="005B6350"/>
    <w:rsid w:val="005B6B08"/>
    <w:rsid w:val="005B6C5B"/>
    <w:rsid w:val="005B709A"/>
    <w:rsid w:val="005C04A5"/>
    <w:rsid w:val="005C5198"/>
    <w:rsid w:val="005C7841"/>
    <w:rsid w:val="005D0CE2"/>
    <w:rsid w:val="005D3FBB"/>
    <w:rsid w:val="005D5B84"/>
    <w:rsid w:val="005E2AEA"/>
    <w:rsid w:val="005E30A1"/>
    <w:rsid w:val="005E3908"/>
    <w:rsid w:val="005E6E6F"/>
    <w:rsid w:val="005E76C4"/>
    <w:rsid w:val="005F008B"/>
    <w:rsid w:val="005F06FE"/>
    <w:rsid w:val="005F42C0"/>
    <w:rsid w:val="005F7CBF"/>
    <w:rsid w:val="0060354F"/>
    <w:rsid w:val="00603D11"/>
    <w:rsid w:val="00604BFC"/>
    <w:rsid w:val="00606B64"/>
    <w:rsid w:val="00607BDB"/>
    <w:rsid w:val="00607F50"/>
    <w:rsid w:val="0061072E"/>
    <w:rsid w:val="00615117"/>
    <w:rsid w:val="0061613A"/>
    <w:rsid w:val="0061640F"/>
    <w:rsid w:val="006207EE"/>
    <w:rsid w:val="0062102A"/>
    <w:rsid w:val="00621474"/>
    <w:rsid w:val="00624140"/>
    <w:rsid w:val="0063091E"/>
    <w:rsid w:val="0063154D"/>
    <w:rsid w:val="0063181B"/>
    <w:rsid w:val="0063205A"/>
    <w:rsid w:val="00636806"/>
    <w:rsid w:val="00641E2D"/>
    <w:rsid w:val="00642875"/>
    <w:rsid w:val="00651C62"/>
    <w:rsid w:val="006525A3"/>
    <w:rsid w:val="006540DA"/>
    <w:rsid w:val="00656DDD"/>
    <w:rsid w:val="0066063C"/>
    <w:rsid w:val="0066134D"/>
    <w:rsid w:val="00661BC0"/>
    <w:rsid w:val="0066479C"/>
    <w:rsid w:val="006653C8"/>
    <w:rsid w:val="00667FAA"/>
    <w:rsid w:val="00672598"/>
    <w:rsid w:val="00673028"/>
    <w:rsid w:val="006943B7"/>
    <w:rsid w:val="00694FE3"/>
    <w:rsid w:val="006A0105"/>
    <w:rsid w:val="006A0CF2"/>
    <w:rsid w:val="006A3F3E"/>
    <w:rsid w:val="006A73E6"/>
    <w:rsid w:val="006B1DF7"/>
    <w:rsid w:val="006B2CC7"/>
    <w:rsid w:val="006B3916"/>
    <w:rsid w:val="006B5330"/>
    <w:rsid w:val="006B6804"/>
    <w:rsid w:val="006C1018"/>
    <w:rsid w:val="006C1182"/>
    <w:rsid w:val="006C3517"/>
    <w:rsid w:val="006C3DA6"/>
    <w:rsid w:val="006C4A18"/>
    <w:rsid w:val="006C529E"/>
    <w:rsid w:val="006C7F5A"/>
    <w:rsid w:val="006D0B7F"/>
    <w:rsid w:val="006D103F"/>
    <w:rsid w:val="006D10AC"/>
    <w:rsid w:val="006D1559"/>
    <w:rsid w:val="006D4495"/>
    <w:rsid w:val="006D6454"/>
    <w:rsid w:val="006D6DAD"/>
    <w:rsid w:val="006E056D"/>
    <w:rsid w:val="006E07D6"/>
    <w:rsid w:val="006E23F0"/>
    <w:rsid w:val="006E5786"/>
    <w:rsid w:val="006E7C5D"/>
    <w:rsid w:val="006F0D0D"/>
    <w:rsid w:val="006F1755"/>
    <w:rsid w:val="006F1EDB"/>
    <w:rsid w:val="006F6040"/>
    <w:rsid w:val="006F61D2"/>
    <w:rsid w:val="00701A61"/>
    <w:rsid w:val="00701BD3"/>
    <w:rsid w:val="00702FF8"/>
    <w:rsid w:val="007032EC"/>
    <w:rsid w:val="00703618"/>
    <w:rsid w:val="00703CB4"/>
    <w:rsid w:val="00704608"/>
    <w:rsid w:val="00704B4A"/>
    <w:rsid w:val="00707193"/>
    <w:rsid w:val="0071017A"/>
    <w:rsid w:val="007108B2"/>
    <w:rsid w:val="007130FA"/>
    <w:rsid w:val="007208CE"/>
    <w:rsid w:val="00727FB2"/>
    <w:rsid w:val="00731258"/>
    <w:rsid w:val="0073182D"/>
    <w:rsid w:val="00731E9E"/>
    <w:rsid w:val="00733088"/>
    <w:rsid w:val="00733487"/>
    <w:rsid w:val="007338C8"/>
    <w:rsid w:val="00733DA2"/>
    <w:rsid w:val="0073721F"/>
    <w:rsid w:val="00742EB5"/>
    <w:rsid w:val="00743D73"/>
    <w:rsid w:val="00745734"/>
    <w:rsid w:val="00747B5D"/>
    <w:rsid w:val="00751DAD"/>
    <w:rsid w:val="007606CD"/>
    <w:rsid w:val="00761714"/>
    <w:rsid w:val="00762FCF"/>
    <w:rsid w:val="007720BD"/>
    <w:rsid w:val="0077241A"/>
    <w:rsid w:val="007744A7"/>
    <w:rsid w:val="00774617"/>
    <w:rsid w:val="00780165"/>
    <w:rsid w:val="0078208F"/>
    <w:rsid w:val="00784282"/>
    <w:rsid w:val="00787D6D"/>
    <w:rsid w:val="007908E7"/>
    <w:rsid w:val="00791277"/>
    <w:rsid w:val="00791E24"/>
    <w:rsid w:val="00796BF6"/>
    <w:rsid w:val="007A2294"/>
    <w:rsid w:val="007A2DA4"/>
    <w:rsid w:val="007A6062"/>
    <w:rsid w:val="007A67E8"/>
    <w:rsid w:val="007A6B96"/>
    <w:rsid w:val="007A71FE"/>
    <w:rsid w:val="007A7443"/>
    <w:rsid w:val="007B3483"/>
    <w:rsid w:val="007B36F9"/>
    <w:rsid w:val="007B432E"/>
    <w:rsid w:val="007B6532"/>
    <w:rsid w:val="007B7912"/>
    <w:rsid w:val="007B7C53"/>
    <w:rsid w:val="007C0FBD"/>
    <w:rsid w:val="007C10D7"/>
    <w:rsid w:val="007C20D8"/>
    <w:rsid w:val="007C2A34"/>
    <w:rsid w:val="007C51F3"/>
    <w:rsid w:val="007C5A00"/>
    <w:rsid w:val="007C5F5A"/>
    <w:rsid w:val="007C7A16"/>
    <w:rsid w:val="007D0369"/>
    <w:rsid w:val="007D2319"/>
    <w:rsid w:val="007D2D11"/>
    <w:rsid w:val="007D640D"/>
    <w:rsid w:val="007D7587"/>
    <w:rsid w:val="007E038C"/>
    <w:rsid w:val="007E231B"/>
    <w:rsid w:val="007E5D9B"/>
    <w:rsid w:val="007E6084"/>
    <w:rsid w:val="007E6FCE"/>
    <w:rsid w:val="007F0C5E"/>
    <w:rsid w:val="007F2607"/>
    <w:rsid w:val="007F477B"/>
    <w:rsid w:val="007F4CA9"/>
    <w:rsid w:val="007F7BBE"/>
    <w:rsid w:val="00801232"/>
    <w:rsid w:val="00803CCE"/>
    <w:rsid w:val="00803E5E"/>
    <w:rsid w:val="00804AE4"/>
    <w:rsid w:val="008064B3"/>
    <w:rsid w:val="0081065D"/>
    <w:rsid w:val="008118AF"/>
    <w:rsid w:val="00811EA0"/>
    <w:rsid w:val="00813BFA"/>
    <w:rsid w:val="008173D7"/>
    <w:rsid w:val="00817D28"/>
    <w:rsid w:val="00820E72"/>
    <w:rsid w:val="00823607"/>
    <w:rsid w:val="00825C24"/>
    <w:rsid w:val="00830070"/>
    <w:rsid w:val="00832E80"/>
    <w:rsid w:val="00835590"/>
    <w:rsid w:val="00835C03"/>
    <w:rsid w:val="00836039"/>
    <w:rsid w:val="00847988"/>
    <w:rsid w:val="008533DD"/>
    <w:rsid w:val="00856E19"/>
    <w:rsid w:val="00856FBA"/>
    <w:rsid w:val="00857982"/>
    <w:rsid w:val="00857DD4"/>
    <w:rsid w:val="00860472"/>
    <w:rsid w:val="00861B57"/>
    <w:rsid w:val="00862E8D"/>
    <w:rsid w:val="0087139E"/>
    <w:rsid w:val="008729EC"/>
    <w:rsid w:val="00872AE0"/>
    <w:rsid w:val="00874F62"/>
    <w:rsid w:val="00877A3E"/>
    <w:rsid w:val="00885579"/>
    <w:rsid w:val="00885F0B"/>
    <w:rsid w:val="00886965"/>
    <w:rsid w:val="0089387C"/>
    <w:rsid w:val="008A1C1A"/>
    <w:rsid w:val="008A3F95"/>
    <w:rsid w:val="008B12BA"/>
    <w:rsid w:val="008B17E1"/>
    <w:rsid w:val="008B3F19"/>
    <w:rsid w:val="008B4892"/>
    <w:rsid w:val="008C6C71"/>
    <w:rsid w:val="008D0BED"/>
    <w:rsid w:val="008D112F"/>
    <w:rsid w:val="008D50D1"/>
    <w:rsid w:val="008D5A8C"/>
    <w:rsid w:val="008D6560"/>
    <w:rsid w:val="008E254D"/>
    <w:rsid w:val="008E2911"/>
    <w:rsid w:val="008E358A"/>
    <w:rsid w:val="008E4715"/>
    <w:rsid w:val="008E4A53"/>
    <w:rsid w:val="008E5DED"/>
    <w:rsid w:val="008E72E5"/>
    <w:rsid w:val="008F4703"/>
    <w:rsid w:val="008F7B03"/>
    <w:rsid w:val="00901975"/>
    <w:rsid w:val="00906D94"/>
    <w:rsid w:val="00906E37"/>
    <w:rsid w:val="00906EB3"/>
    <w:rsid w:val="009114A6"/>
    <w:rsid w:val="00915210"/>
    <w:rsid w:val="009174AF"/>
    <w:rsid w:val="00920A92"/>
    <w:rsid w:val="00921AD6"/>
    <w:rsid w:val="00923BCD"/>
    <w:rsid w:val="00924818"/>
    <w:rsid w:val="00925A46"/>
    <w:rsid w:val="0093163B"/>
    <w:rsid w:val="0093376B"/>
    <w:rsid w:val="00934502"/>
    <w:rsid w:val="009349AA"/>
    <w:rsid w:val="00936869"/>
    <w:rsid w:val="00936C4F"/>
    <w:rsid w:val="0094767E"/>
    <w:rsid w:val="00955055"/>
    <w:rsid w:val="00957AE8"/>
    <w:rsid w:val="00957FAF"/>
    <w:rsid w:val="00960808"/>
    <w:rsid w:val="00961133"/>
    <w:rsid w:val="009638A4"/>
    <w:rsid w:val="00964C04"/>
    <w:rsid w:val="009663A3"/>
    <w:rsid w:val="00966FCF"/>
    <w:rsid w:val="0097491A"/>
    <w:rsid w:val="009758B4"/>
    <w:rsid w:val="00975E52"/>
    <w:rsid w:val="00977804"/>
    <w:rsid w:val="0098049A"/>
    <w:rsid w:val="00981329"/>
    <w:rsid w:val="009829D4"/>
    <w:rsid w:val="00982ABA"/>
    <w:rsid w:val="00984B2D"/>
    <w:rsid w:val="00986272"/>
    <w:rsid w:val="00987AB0"/>
    <w:rsid w:val="0099000A"/>
    <w:rsid w:val="009900C6"/>
    <w:rsid w:val="00991DF2"/>
    <w:rsid w:val="009926D7"/>
    <w:rsid w:val="00993633"/>
    <w:rsid w:val="00994924"/>
    <w:rsid w:val="00994CF8"/>
    <w:rsid w:val="009A08C2"/>
    <w:rsid w:val="009A4227"/>
    <w:rsid w:val="009A4BA4"/>
    <w:rsid w:val="009A5C97"/>
    <w:rsid w:val="009A6F13"/>
    <w:rsid w:val="009B1A8A"/>
    <w:rsid w:val="009B322E"/>
    <w:rsid w:val="009B38DF"/>
    <w:rsid w:val="009C2214"/>
    <w:rsid w:val="009C3E86"/>
    <w:rsid w:val="009C4748"/>
    <w:rsid w:val="009C6201"/>
    <w:rsid w:val="009C6E7A"/>
    <w:rsid w:val="009D020F"/>
    <w:rsid w:val="009D26B9"/>
    <w:rsid w:val="009D3A02"/>
    <w:rsid w:val="009D7F29"/>
    <w:rsid w:val="009E1769"/>
    <w:rsid w:val="009E2446"/>
    <w:rsid w:val="009E6433"/>
    <w:rsid w:val="009F1760"/>
    <w:rsid w:val="009F3052"/>
    <w:rsid w:val="009F3A94"/>
    <w:rsid w:val="009F45A2"/>
    <w:rsid w:val="00A03A68"/>
    <w:rsid w:val="00A05BD3"/>
    <w:rsid w:val="00A115E2"/>
    <w:rsid w:val="00A134C7"/>
    <w:rsid w:val="00A20016"/>
    <w:rsid w:val="00A225B5"/>
    <w:rsid w:val="00A262F3"/>
    <w:rsid w:val="00A27CAB"/>
    <w:rsid w:val="00A30B18"/>
    <w:rsid w:val="00A318CD"/>
    <w:rsid w:val="00A32DE8"/>
    <w:rsid w:val="00A36DE2"/>
    <w:rsid w:val="00A37729"/>
    <w:rsid w:val="00A37BEA"/>
    <w:rsid w:val="00A41A41"/>
    <w:rsid w:val="00A44B87"/>
    <w:rsid w:val="00A50A89"/>
    <w:rsid w:val="00A6000B"/>
    <w:rsid w:val="00A61B42"/>
    <w:rsid w:val="00A70CBB"/>
    <w:rsid w:val="00A71EBE"/>
    <w:rsid w:val="00A75968"/>
    <w:rsid w:val="00A76BC8"/>
    <w:rsid w:val="00A8111E"/>
    <w:rsid w:val="00A8485E"/>
    <w:rsid w:val="00A872D4"/>
    <w:rsid w:val="00A878D6"/>
    <w:rsid w:val="00A87FEB"/>
    <w:rsid w:val="00A9103B"/>
    <w:rsid w:val="00A91AA0"/>
    <w:rsid w:val="00A921F3"/>
    <w:rsid w:val="00A93E7B"/>
    <w:rsid w:val="00A96B36"/>
    <w:rsid w:val="00AA0FBC"/>
    <w:rsid w:val="00AA3E61"/>
    <w:rsid w:val="00AA52CB"/>
    <w:rsid w:val="00AB5BF6"/>
    <w:rsid w:val="00AB70F7"/>
    <w:rsid w:val="00AC1602"/>
    <w:rsid w:val="00AC4E12"/>
    <w:rsid w:val="00AC5A93"/>
    <w:rsid w:val="00AC77F2"/>
    <w:rsid w:val="00AD0217"/>
    <w:rsid w:val="00AD7544"/>
    <w:rsid w:val="00AD76D9"/>
    <w:rsid w:val="00AE04D7"/>
    <w:rsid w:val="00AE28B9"/>
    <w:rsid w:val="00AE2DA1"/>
    <w:rsid w:val="00AE3BF2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71E2"/>
    <w:rsid w:val="00B074D2"/>
    <w:rsid w:val="00B146B5"/>
    <w:rsid w:val="00B320D7"/>
    <w:rsid w:val="00B321B3"/>
    <w:rsid w:val="00B35483"/>
    <w:rsid w:val="00B405D2"/>
    <w:rsid w:val="00B5002C"/>
    <w:rsid w:val="00B533CB"/>
    <w:rsid w:val="00B54875"/>
    <w:rsid w:val="00B56E4D"/>
    <w:rsid w:val="00B62CFA"/>
    <w:rsid w:val="00B636AF"/>
    <w:rsid w:val="00B63D36"/>
    <w:rsid w:val="00B64DB2"/>
    <w:rsid w:val="00B77572"/>
    <w:rsid w:val="00B814DA"/>
    <w:rsid w:val="00B848F9"/>
    <w:rsid w:val="00B91AA1"/>
    <w:rsid w:val="00B9253D"/>
    <w:rsid w:val="00B926BE"/>
    <w:rsid w:val="00B92DB8"/>
    <w:rsid w:val="00B9592F"/>
    <w:rsid w:val="00B96F9A"/>
    <w:rsid w:val="00BA0005"/>
    <w:rsid w:val="00BA0565"/>
    <w:rsid w:val="00BA27E1"/>
    <w:rsid w:val="00BA3512"/>
    <w:rsid w:val="00BA4CDA"/>
    <w:rsid w:val="00BB17AE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245F"/>
    <w:rsid w:val="00BF112F"/>
    <w:rsid w:val="00BF2D7E"/>
    <w:rsid w:val="00BF34EB"/>
    <w:rsid w:val="00BF6201"/>
    <w:rsid w:val="00C101F5"/>
    <w:rsid w:val="00C136E8"/>
    <w:rsid w:val="00C14A3B"/>
    <w:rsid w:val="00C217B1"/>
    <w:rsid w:val="00C2312D"/>
    <w:rsid w:val="00C25FE0"/>
    <w:rsid w:val="00C26BC2"/>
    <w:rsid w:val="00C312F2"/>
    <w:rsid w:val="00C33572"/>
    <w:rsid w:val="00C349A2"/>
    <w:rsid w:val="00C34E2D"/>
    <w:rsid w:val="00C3728D"/>
    <w:rsid w:val="00C41803"/>
    <w:rsid w:val="00C4228B"/>
    <w:rsid w:val="00C46817"/>
    <w:rsid w:val="00C47EBD"/>
    <w:rsid w:val="00C51680"/>
    <w:rsid w:val="00C52F0B"/>
    <w:rsid w:val="00C535AE"/>
    <w:rsid w:val="00C605E6"/>
    <w:rsid w:val="00C649AE"/>
    <w:rsid w:val="00C65CA5"/>
    <w:rsid w:val="00C71672"/>
    <w:rsid w:val="00C7258D"/>
    <w:rsid w:val="00C72DDA"/>
    <w:rsid w:val="00C82172"/>
    <w:rsid w:val="00C83920"/>
    <w:rsid w:val="00C84755"/>
    <w:rsid w:val="00C9149B"/>
    <w:rsid w:val="00C9244F"/>
    <w:rsid w:val="00C95606"/>
    <w:rsid w:val="00CA224E"/>
    <w:rsid w:val="00CA7425"/>
    <w:rsid w:val="00CB03A8"/>
    <w:rsid w:val="00CB0E6A"/>
    <w:rsid w:val="00CB19ED"/>
    <w:rsid w:val="00CB1F90"/>
    <w:rsid w:val="00CB4200"/>
    <w:rsid w:val="00CB6204"/>
    <w:rsid w:val="00CC0419"/>
    <w:rsid w:val="00CC07E2"/>
    <w:rsid w:val="00CC1177"/>
    <w:rsid w:val="00CC330F"/>
    <w:rsid w:val="00CD270E"/>
    <w:rsid w:val="00CD724A"/>
    <w:rsid w:val="00CE0471"/>
    <w:rsid w:val="00CE16CE"/>
    <w:rsid w:val="00CE39EF"/>
    <w:rsid w:val="00CF2167"/>
    <w:rsid w:val="00D00EDC"/>
    <w:rsid w:val="00D04F1C"/>
    <w:rsid w:val="00D060AE"/>
    <w:rsid w:val="00D068FF"/>
    <w:rsid w:val="00D0723F"/>
    <w:rsid w:val="00D105E6"/>
    <w:rsid w:val="00D12DCE"/>
    <w:rsid w:val="00D13052"/>
    <w:rsid w:val="00D14662"/>
    <w:rsid w:val="00D160F1"/>
    <w:rsid w:val="00D217CB"/>
    <w:rsid w:val="00D23550"/>
    <w:rsid w:val="00D278C3"/>
    <w:rsid w:val="00D32A41"/>
    <w:rsid w:val="00D3333C"/>
    <w:rsid w:val="00D361BF"/>
    <w:rsid w:val="00D37818"/>
    <w:rsid w:val="00D40977"/>
    <w:rsid w:val="00D4600A"/>
    <w:rsid w:val="00D521B7"/>
    <w:rsid w:val="00D533D0"/>
    <w:rsid w:val="00D56958"/>
    <w:rsid w:val="00D57AE7"/>
    <w:rsid w:val="00D62CBE"/>
    <w:rsid w:val="00D74012"/>
    <w:rsid w:val="00D771A5"/>
    <w:rsid w:val="00D81885"/>
    <w:rsid w:val="00D8284E"/>
    <w:rsid w:val="00D833B7"/>
    <w:rsid w:val="00D83603"/>
    <w:rsid w:val="00D83838"/>
    <w:rsid w:val="00D85C12"/>
    <w:rsid w:val="00D85C21"/>
    <w:rsid w:val="00D8722B"/>
    <w:rsid w:val="00D91103"/>
    <w:rsid w:val="00D9606B"/>
    <w:rsid w:val="00D9631B"/>
    <w:rsid w:val="00D978EC"/>
    <w:rsid w:val="00DA1BDC"/>
    <w:rsid w:val="00DA7CCB"/>
    <w:rsid w:val="00DB03D8"/>
    <w:rsid w:val="00DB1A8C"/>
    <w:rsid w:val="00DB21E6"/>
    <w:rsid w:val="00DB2EAA"/>
    <w:rsid w:val="00DB45B2"/>
    <w:rsid w:val="00DB77F9"/>
    <w:rsid w:val="00DC082D"/>
    <w:rsid w:val="00DC1BD7"/>
    <w:rsid w:val="00DC4FFF"/>
    <w:rsid w:val="00DC5407"/>
    <w:rsid w:val="00DC6943"/>
    <w:rsid w:val="00DD050D"/>
    <w:rsid w:val="00DD443C"/>
    <w:rsid w:val="00DD6367"/>
    <w:rsid w:val="00DD658E"/>
    <w:rsid w:val="00DE450E"/>
    <w:rsid w:val="00DE4B92"/>
    <w:rsid w:val="00DE4C8A"/>
    <w:rsid w:val="00DE6E3E"/>
    <w:rsid w:val="00DF14EE"/>
    <w:rsid w:val="00DF29F5"/>
    <w:rsid w:val="00E04AD3"/>
    <w:rsid w:val="00E06646"/>
    <w:rsid w:val="00E07687"/>
    <w:rsid w:val="00E07F2F"/>
    <w:rsid w:val="00E13D69"/>
    <w:rsid w:val="00E141D7"/>
    <w:rsid w:val="00E14BF9"/>
    <w:rsid w:val="00E22DB7"/>
    <w:rsid w:val="00E27CE7"/>
    <w:rsid w:val="00E40C6C"/>
    <w:rsid w:val="00E41B29"/>
    <w:rsid w:val="00E424CD"/>
    <w:rsid w:val="00E45845"/>
    <w:rsid w:val="00E47864"/>
    <w:rsid w:val="00E478EE"/>
    <w:rsid w:val="00E51159"/>
    <w:rsid w:val="00E54146"/>
    <w:rsid w:val="00E5560A"/>
    <w:rsid w:val="00E60401"/>
    <w:rsid w:val="00E6059C"/>
    <w:rsid w:val="00E6138B"/>
    <w:rsid w:val="00E61E48"/>
    <w:rsid w:val="00E629E9"/>
    <w:rsid w:val="00E668C4"/>
    <w:rsid w:val="00E7424E"/>
    <w:rsid w:val="00E75697"/>
    <w:rsid w:val="00E75898"/>
    <w:rsid w:val="00E759B2"/>
    <w:rsid w:val="00E766C3"/>
    <w:rsid w:val="00E779B4"/>
    <w:rsid w:val="00E77AAC"/>
    <w:rsid w:val="00E807DD"/>
    <w:rsid w:val="00E829DC"/>
    <w:rsid w:val="00E83778"/>
    <w:rsid w:val="00E837B2"/>
    <w:rsid w:val="00E83E6B"/>
    <w:rsid w:val="00E83E79"/>
    <w:rsid w:val="00E84099"/>
    <w:rsid w:val="00E93A47"/>
    <w:rsid w:val="00E94BD7"/>
    <w:rsid w:val="00E95619"/>
    <w:rsid w:val="00EA1794"/>
    <w:rsid w:val="00EA2220"/>
    <w:rsid w:val="00EA234C"/>
    <w:rsid w:val="00EA35CE"/>
    <w:rsid w:val="00EB08DB"/>
    <w:rsid w:val="00EB16F4"/>
    <w:rsid w:val="00EB1D50"/>
    <w:rsid w:val="00EB57A5"/>
    <w:rsid w:val="00EB75FD"/>
    <w:rsid w:val="00EC1ED7"/>
    <w:rsid w:val="00EC5EB0"/>
    <w:rsid w:val="00EC6914"/>
    <w:rsid w:val="00EC755C"/>
    <w:rsid w:val="00ED7532"/>
    <w:rsid w:val="00EE37A7"/>
    <w:rsid w:val="00EE420A"/>
    <w:rsid w:val="00EE73F2"/>
    <w:rsid w:val="00EE7B5E"/>
    <w:rsid w:val="00EF22E0"/>
    <w:rsid w:val="00EF30C7"/>
    <w:rsid w:val="00EF34D4"/>
    <w:rsid w:val="00F010D5"/>
    <w:rsid w:val="00F020E6"/>
    <w:rsid w:val="00F03190"/>
    <w:rsid w:val="00F075E5"/>
    <w:rsid w:val="00F10E07"/>
    <w:rsid w:val="00F12E6F"/>
    <w:rsid w:val="00F14CD2"/>
    <w:rsid w:val="00F14F3F"/>
    <w:rsid w:val="00F15B6A"/>
    <w:rsid w:val="00F176F0"/>
    <w:rsid w:val="00F2283E"/>
    <w:rsid w:val="00F22933"/>
    <w:rsid w:val="00F23651"/>
    <w:rsid w:val="00F24686"/>
    <w:rsid w:val="00F27625"/>
    <w:rsid w:val="00F31D96"/>
    <w:rsid w:val="00F34991"/>
    <w:rsid w:val="00F40CE4"/>
    <w:rsid w:val="00F42127"/>
    <w:rsid w:val="00F4360E"/>
    <w:rsid w:val="00F46790"/>
    <w:rsid w:val="00F467C9"/>
    <w:rsid w:val="00F50FCD"/>
    <w:rsid w:val="00F5251C"/>
    <w:rsid w:val="00F54448"/>
    <w:rsid w:val="00F571D4"/>
    <w:rsid w:val="00F6019C"/>
    <w:rsid w:val="00F648D2"/>
    <w:rsid w:val="00F64944"/>
    <w:rsid w:val="00F7654B"/>
    <w:rsid w:val="00F80CCA"/>
    <w:rsid w:val="00F81C4D"/>
    <w:rsid w:val="00F822ED"/>
    <w:rsid w:val="00F8255F"/>
    <w:rsid w:val="00F84E5F"/>
    <w:rsid w:val="00FA0B2D"/>
    <w:rsid w:val="00FA0EA4"/>
    <w:rsid w:val="00FA14A4"/>
    <w:rsid w:val="00FA611F"/>
    <w:rsid w:val="00FA793C"/>
    <w:rsid w:val="00FB1879"/>
    <w:rsid w:val="00FB3D64"/>
    <w:rsid w:val="00FB6959"/>
    <w:rsid w:val="00FB7144"/>
    <w:rsid w:val="00FC673A"/>
    <w:rsid w:val="00FD0A29"/>
    <w:rsid w:val="00FD0F78"/>
    <w:rsid w:val="00FD4146"/>
    <w:rsid w:val="00FD6A5B"/>
    <w:rsid w:val="00FD6E40"/>
    <w:rsid w:val="00FD6EB7"/>
    <w:rsid w:val="00FD7644"/>
    <w:rsid w:val="00FE344A"/>
    <w:rsid w:val="00FE65EA"/>
    <w:rsid w:val="00FF0126"/>
    <w:rsid w:val="00FF0E89"/>
    <w:rsid w:val="00FF44F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1CC95"/>
  <w15:chartTrackingRefBased/>
  <w15:docId w15:val="{B1BE9EF7-81CA-4631-A638-9537284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  <w:lang w:val="nb-NO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8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8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8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6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7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rsid w:val="0085798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8579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57982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8579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57982"/>
    <w:rPr>
      <w:b/>
      <w:bCs/>
      <w:lang w:val="nb-NO"/>
    </w:rPr>
  </w:style>
  <w:style w:type="paragraph" w:styleId="Revisjon">
    <w:name w:val="Revision"/>
    <w:hidden/>
    <w:uiPriority w:val="99"/>
    <w:semiHidden/>
    <w:rsid w:val="004442BC"/>
    <w:rPr>
      <w:sz w:val="18"/>
      <w:szCs w:val="18"/>
      <w:lang w:val="nb-NO"/>
    </w:rPr>
  </w:style>
  <w:style w:type="character" w:styleId="Ulstomtale">
    <w:name w:val="Unresolved Mention"/>
    <w:basedOn w:val="Standardskriftforavsnitt"/>
    <w:rsid w:val="00D83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-overview/post-authorisation/pharmacovigilance-post-authorisation/signal-management/prac-recommendations-safety-sign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FFA10-1E2A-4441-9BF1-5AC80D54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91FB6-9190-4414-BAAA-B7CC63A1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2990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product information wording - Sep 2024_EN</vt:lpstr>
      <vt:lpstr>New product information wording - Sep 2024_EN</vt:lpstr>
    </vt:vector>
  </TitlesOfParts>
  <Company>European Medicines Agency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Sep 2024_EN</dc:title>
  <dc:creator>Cappelli Benedicte</dc:creator>
  <dc:description>Template version: 8 August 2014</dc:description>
  <cp:lastModifiedBy>Camilla Nguyen</cp:lastModifiedBy>
  <cp:revision>29</cp:revision>
  <cp:lastPrinted>2017-01-19T12:32:00Z</cp:lastPrinted>
  <dcterms:created xsi:type="dcterms:W3CDTF">2025-01-21T12:50:00Z</dcterms:created>
  <dcterms:modified xsi:type="dcterms:W3CDTF">2025-01-22T07:48:00Z</dcterms:modified>
</cp:coreProperties>
</file>