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C98" w14:textId="0BD47E55" w:rsidR="003C1473" w:rsidRPr="00333F3F" w:rsidRDefault="00DE4C8A" w:rsidP="007C1561">
      <w:pPr>
        <w:pStyle w:val="DoctitleAgency"/>
      </w:pPr>
      <w:bookmarkStart w:id="0" w:name="DocSubtitle"/>
      <w:r w:rsidRPr="00333F3F">
        <w:t>Anbefaling fra PRAC etter signalutredning</w:t>
      </w:r>
      <w:r w:rsidR="009829D4" w:rsidRPr="00333F3F">
        <w:t xml:space="preserve"> – </w:t>
      </w:r>
      <w:r w:rsidRPr="00333F3F">
        <w:t>oppdatering av produktinformasjon</w:t>
      </w:r>
    </w:p>
    <w:bookmarkEnd w:id="0"/>
    <w:p w14:paraId="0DB1CC99" w14:textId="2610DF12" w:rsidR="00BA4CDA" w:rsidRPr="00DE4C8A" w:rsidRDefault="00DE4C8A" w:rsidP="007C1561">
      <w:pPr>
        <w:pStyle w:val="DocsubtitleAgency"/>
      </w:pPr>
      <w:r w:rsidRPr="00DE4C8A">
        <w:t xml:space="preserve">Vedtatt </w:t>
      </w:r>
      <w:r w:rsidR="003A4761">
        <w:t>1</w:t>
      </w:r>
      <w:r w:rsidRPr="00DE4C8A">
        <w:t>.</w:t>
      </w:r>
      <w:r w:rsidR="003A4761">
        <w:t>-</w:t>
      </w:r>
      <w:r w:rsidR="00372D43">
        <w:t>4</w:t>
      </w:r>
      <w:r w:rsidR="003A4761">
        <w:t>.</w:t>
      </w:r>
      <w:r w:rsidR="004733DA" w:rsidRPr="00DE4C8A">
        <w:t xml:space="preserve"> </w:t>
      </w:r>
      <w:r w:rsidRPr="00DE4C8A">
        <w:t>s</w:t>
      </w:r>
      <w:r w:rsidR="004733DA" w:rsidRPr="00DE4C8A">
        <w:t>eptember</w:t>
      </w:r>
      <w:r w:rsidR="001503FB" w:rsidRPr="00DE4C8A">
        <w:t xml:space="preserve"> 20</w:t>
      </w:r>
      <w:r w:rsidR="00BF34EB" w:rsidRPr="00DE4C8A">
        <w:t>2</w:t>
      </w:r>
      <w:r w:rsidR="003075BD">
        <w:t>5</w:t>
      </w:r>
      <w:r w:rsidR="009829D4" w:rsidRPr="00DE4C8A">
        <w:t xml:space="preserve"> PRAC</w:t>
      </w:r>
    </w:p>
    <w:p w14:paraId="16E0C417" w14:textId="5391474B" w:rsidR="00DE4C8A" w:rsidRPr="00CC330F" w:rsidRDefault="00DE4C8A" w:rsidP="007C1561">
      <w:pPr>
        <w:pStyle w:val="BodytextAgency"/>
      </w:pPr>
      <w:r w:rsidRPr="00DE4C8A">
        <w:t xml:space="preserve">Ordlyden i produktinformasjonen i dette dokumentet er hentet fra dokumentet ‘PRAC </w:t>
      </w:r>
      <w:proofErr w:type="spellStart"/>
      <w:r w:rsidRPr="00DE4C8A">
        <w:t>recommendations</w:t>
      </w:r>
      <w:proofErr w:type="spellEnd"/>
      <w:r w:rsidRPr="00DE4C8A">
        <w:t xml:space="preserve"> </w:t>
      </w:r>
      <w:proofErr w:type="spellStart"/>
      <w:r w:rsidRPr="00DE4C8A">
        <w:t>on</w:t>
      </w:r>
      <w:proofErr w:type="spellEnd"/>
      <w:r w:rsidRPr="00DE4C8A">
        <w:t xml:space="preserve"> signals’, som inneholder hele PRAC anbefalingsteksten til oppdateringen. Det dokumentet inneholder i tillegg en generell veiledning om hvordan signalene skal håndteres. </w:t>
      </w:r>
      <w:r w:rsidR="00997D4B" w:rsidRPr="00CC330F">
        <w:t xml:space="preserve">Dokumentet finnes </w:t>
      </w:r>
      <w:r w:rsidR="00997D4B">
        <w:t xml:space="preserve">på nettsiden </w:t>
      </w:r>
      <w:hyperlink r:id="rId10" w:history="1">
        <w:r w:rsidR="00997D4B" w:rsidRPr="005E308E">
          <w:rPr>
            <w:rStyle w:val="Hyperkobling"/>
            <w:bCs/>
            <w:iCs/>
          </w:rPr>
          <w:t xml:space="preserve">PRAC </w:t>
        </w:r>
        <w:proofErr w:type="spellStart"/>
        <w:r w:rsidR="00997D4B" w:rsidRPr="005E308E">
          <w:rPr>
            <w:rStyle w:val="Hyperkobling"/>
            <w:bCs/>
            <w:iCs/>
          </w:rPr>
          <w:t>recommendations</w:t>
        </w:r>
        <w:proofErr w:type="spellEnd"/>
        <w:r w:rsidR="00997D4B" w:rsidRPr="005E308E">
          <w:rPr>
            <w:rStyle w:val="Hyperkobling"/>
            <w:bCs/>
            <w:iCs/>
          </w:rPr>
          <w:t xml:space="preserve"> </w:t>
        </w:r>
        <w:proofErr w:type="spellStart"/>
        <w:r w:rsidR="00997D4B" w:rsidRPr="005E308E">
          <w:rPr>
            <w:rStyle w:val="Hyperkobling"/>
            <w:bCs/>
            <w:iCs/>
          </w:rPr>
          <w:t>on</w:t>
        </w:r>
        <w:proofErr w:type="spellEnd"/>
        <w:r w:rsidR="00997D4B" w:rsidRPr="005E308E">
          <w:rPr>
            <w:rStyle w:val="Hyperkobling"/>
            <w:bCs/>
            <w:iCs/>
          </w:rPr>
          <w:t xml:space="preserve"> </w:t>
        </w:r>
        <w:proofErr w:type="spellStart"/>
        <w:r w:rsidR="00997D4B" w:rsidRPr="005E308E">
          <w:rPr>
            <w:rStyle w:val="Hyperkobling"/>
            <w:bCs/>
            <w:iCs/>
          </w:rPr>
          <w:t>safety</w:t>
        </w:r>
        <w:proofErr w:type="spellEnd"/>
        <w:r w:rsidR="00997D4B" w:rsidRPr="005E308E">
          <w:rPr>
            <w:rStyle w:val="Hyperkobling"/>
            <w:bCs/>
            <w:iCs/>
          </w:rPr>
          <w:t xml:space="preserve"> signals</w:t>
        </w:r>
      </w:hyperlink>
      <w:r w:rsidR="00997D4B" w:rsidRPr="00CC330F">
        <w:t xml:space="preserve"> (kun engelsk versjon).</w:t>
      </w:r>
    </w:p>
    <w:p w14:paraId="0DB1CC9C" w14:textId="67B88242" w:rsidR="001254D9" w:rsidRDefault="00DE4C8A" w:rsidP="007C1561">
      <w:pPr>
        <w:pStyle w:val="BodytextAgency"/>
      </w:pPr>
      <w:r w:rsidRPr="00DE4C8A">
        <w:t xml:space="preserve">Ny tekst som skal inn i produktinformasjonen er </w:t>
      </w:r>
      <w:r w:rsidRPr="00DE4C8A">
        <w:rPr>
          <w:u w:val="single"/>
        </w:rPr>
        <w:t>understreket</w:t>
      </w:r>
      <w:r w:rsidRPr="00DE4C8A">
        <w:t xml:space="preserve">. Nåværende tekst som skal </w:t>
      </w:r>
      <w:proofErr w:type="gramStart"/>
      <w:r w:rsidRPr="00DE4C8A">
        <w:t>slettes</w:t>
      </w:r>
      <w:proofErr w:type="gramEnd"/>
      <w:r w:rsidRPr="00DE4C8A">
        <w:t xml:space="preserve"> er </w:t>
      </w:r>
      <w:proofErr w:type="spellStart"/>
      <w:r w:rsidRPr="00DE4C8A">
        <w:t>gjennomstreket</w:t>
      </w:r>
      <w:proofErr w:type="spellEnd"/>
      <w:r w:rsidRPr="00DE4C8A">
        <w:t>.</w:t>
      </w:r>
    </w:p>
    <w:p w14:paraId="5B4B1B6B" w14:textId="77777777" w:rsidR="00DE4C8A" w:rsidRPr="00DE4C8A" w:rsidRDefault="00DE4C8A" w:rsidP="007C1561">
      <w:pPr>
        <w:pStyle w:val="BodytextAgency"/>
      </w:pPr>
    </w:p>
    <w:p w14:paraId="0DB1CC9D" w14:textId="2D69E51D" w:rsidR="001254D9" w:rsidRPr="00DE4C8A" w:rsidRDefault="00DB74DE" w:rsidP="007C1561">
      <w:pPr>
        <w:pStyle w:val="Heading1Agency"/>
        <w:numPr>
          <w:ilvl w:val="0"/>
          <w:numId w:val="5"/>
        </w:numPr>
      </w:pPr>
      <w:proofErr w:type="spellStart"/>
      <w:r w:rsidRPr="00DB74DE">
        <w:rPr>
          <w:lang w:eastAsia="en-US"/>
        </w:rPr>
        <w:t>Dabrafenib</w:t>
      </w:r>
      <w:proofErr w:type="spellEnd"/>
      <w:r>
        <w:rPr>
          <w:lang w:eastAsia="en-US"/>
        </w:rPr>
        <w:t xml:space="preserve">; </w:t>
      </w:r>
      <w:proofErr w:type="spellStart"/>
      <w:r w:rsidRPr="00DB74DE">
        <w:rPr>
          <w:lang w:eastAsia="en-US"/>
        </w:rPr>
        <w:t>trametinib</w:t>
      </w:r>
      <w:proofErr w:type="spellEnd"/>
      <w:r>
        <w:rPr>
          <w:lang w:eastAsia="en-US"/>
        </w:rPr>
        <w:t xml:space="preserve"> – Tatoveringsrelaterte hudreaksjoner </w:t>
      </w:r>
      <w:r w:rsidRPr="00DB74DE">
        <w:rPr>
          <w:lang w:eastAsia="en-US"/>
        </w:rPr>
        <w:t>(EPITT n</w:t>
      </w:r>
      <w:r>
        <w:rPr>
          <w:lang w:eastAsia="en-US"/>
        </w:rPr>
        <w:t>r.</w:t>
      </w:r>
      <w:r w:rsidRPr="00DB74DE">
        <w:rPr>
          <w:lang w:eastAsia="en-US"/>
        </w:rPr>
        <w:t xml:space="preserve"> 20160)</w:t>
      </w:r>
    </w:p>
    <w:p w14:paraId="6B3E4613" w14:textId="77777777" w:rsidR="00C158BD" w:rsidRDefault="00C158BD" w:rsidP="007C1561">
      <w:pPr>
        <w:pStyle w:val="BodytextAgency"/>
        <w:rPr>
          <w:b/>
          <w:bCs/>
          <w:u w:val="single"/>
        </w:rPr>
      </w:pPr>
      <w:proofErr w:type="spellStart"/>
      <w:r w:rsidRPr="00C158BD">
        <w:rPr>
          <w:b/>
          <w:bCs/>
          <w:u w:val="single"/>
        </w:rPr>
        <w:t>Tafinlar</w:t>
      </w:r>
      <w:proofErr w:type="spellEnd"/>
    </w:p>
    <w:p w14:paraId="0DB1CC9F" w14:textId="2B85C91F" w:rsidR="00F176F0" w:rsidRPr="00F176F0" w:rsidRDefault="00DE4C8A" w:rsidP="007C1561">
      <w:pPr>
        <w:pStyle w:val="BodytextAgency"/>
      </w:pPr>
      <w:r>
        <w:rPr>
          <w:b/>
          <w:bCs/>
        </w:rPr>
        <w:t>Preparatomtale</w:t>
      </w:r>
    </w:p>
    <w:p w14:paraId="0DB1CCA0" w14:textId="4CF85E9D" w:rsidR="00F176F0" w:rsidRPr="00F176F0" w:rsidRDefault="009829D4" w:rsidP="007C1561">
      <w:pPr>
        <w:pStyle w:val="BodytextAgency"/>
      </w:pPr>
      <w:r w:rsidRPr="00F176F0">
        <w:t>4.</w:t>
      </w:r>
      <w:r w:rsidR="00250857">
        <w:t>8 Bivirkninger</w:t>
      </w:r>
      <w:r w:rsidR="00DE4C8A">
        <w:t xml:space="preserve"> </w:t>
      </w:r>
    </w:p>
    <w:p w14:paraId="0DB1CCD5" w14:textId="22F06FB4" w:rsidR="00AE3BF2" w:rsidRDefault="005A152C" w:rsidP="007C1561">
      <w:pPr>
        <w:pStyle w:val="BodytextAgency"/>
      </w:pPr>
      <w:r>
        <w:t xml:space="preserve">Tabell 4: Bivirkninger </w:t>
      </w:r>
      <w:r w:rsidR="00DB74DE">
        <w:t>m</w:t>
      </w:r>
      <w:r>
        <w:t xml:space="preserve">ed </w:t>
      </w:r>
      <w:proofErr w:type="spellStart"/>
      <w:r w:rsidRPr="005A152C">
        <w:t>dabrafenib</w:t>
      </w:r>
      <w:proofErr w:type="spellEnd"/>
      <w:r w:rsidRPr="005A152C">
        <w:t xml:space="preserve"> i kombinasjon med </w:t>
      </w:r>
      <w:proofErr w:type="spellStart"/>
      <w:r w:rsidRPr="005A152C">
        <w:t>trametinib</w:t>
      </w:r>
      <w:proofErr w:type="spellEnd"/>
    </w:p>
    <w:p w14:paraId="11259E9D" w14:textId="4CC26B24" w:rsidR="005A152C" w:rsidRDefault="005A152C" w:rsidP="007C1561">
      <w:pPr>
        <w:pStyle w:val="BodytextAgency"/>
      </w:pPr>
      <w:r>
        <w:t>Hud- og underhudssykdommer</w:t>
      </w:r>
    </w:p>
    <w:p w14:paraId="472E231D" w14:textId="2EEE3500" w:rsidR="005A152C" w:rsidRDefault="005A152C" w:rsidP="007C1561">
      <w:pPr>
        <w:pStyle w:val="BodytextAgency"/>
      </w:pPr>
      <w:r>
        <w:t>Frekvens: "Ikke kjent":</w:t>
      </w:r>
    </w:p>
    <w:p w14:paraId="16567161" w14:textId="69B527A9" w:rsidR="005A152C" w:rsidRPr="00DB74DE" w:rsidRDefault="005A152C" w:rsidP="007C1561">
      <w:pPr>
        <w:pStyle w:val="BodytextAgency"/>
        <w:numPr>
          <w:ilvl w:val="0"/>
          <w:numId w:val="10"/>
        </w:numPr>
        <w:rPr>
          <w:u w:val="single"/>
        </w:rPr>
      </w:pPr>
      <w:r w:rsidRPr="00DB74DE">
        <w:rPr>
          <w:u w:val="single"/>
        </w:rPr>
        <w:t>Tatoveringsrelaterte hudreaksjoner</w:t>
      </w:r>
    </w:p>
    <w:p w14:paraId="0DB1CCD6" w14:textId="4EDEDD10" w:rsidR="001503FB" w:rsidRDefault="009829D4" w:rsidP="007C1561">
      <w:pPr>
        <w:pStyle w:val="BodytextAgency"/>
        <w:spacing w:before="120"/>
        <w:rPr>
          <w:b/>
          <w:bCs/>
          <w:iCs/>
        </w:rPr>
      </w:pPr>
      <w:r w:rsidRPr="0094767E">
        <w:br/>
      </w:r>
      <w:r w:rsidR="003075BD" w:rsidRPr="003075BD">
        <w:rPr>
          <w:b/>
          <w:bCs/>
          <w:iCs/>
        </w:rPr>
        <w:t>P</w:t>
      </w:r>
      <w:r w:rsidR="003075BD">
        <w:rPr>
          <w:b/>
          <w:bCs/>
          <w:iCs/>
        </w:rPr>
        <w:t>akningsvedlegg</w:t>
      </w:r>
    </w:p>
    <w:p w14:paraId="72A85FB1" w14:textId="2702E818" w:rsidR="005D5B84" w:rsidRDefault="00AE4D64" w:rsidP="007C1561">
      <w:pPr>
        <w:pStyle w:val="BodytextAgency"/>
        <w:spacing w:before="120"/>
      </w:pPr>
      <w:r>
        <w:t>4. Mulige bivirkninger</w:t>
      </w:r>
    </w:p>
    <w:p w14:paraId="07D2D85C" w14:textId="05720D66" w:rsidR="005D5B84" w:rsidRDefault="0045265B" w:rsidP="007C1561">
      <w:pPr>
        <w:pStyle w:val="BodytextAgency"/>
        <w:spacing w:before="120"/>
        <w:rPr>
          <w:iCs/>
        </w:rPr>
      </w:pPr>
      <w:r w:rsidRPr="0045265B">
        <w:rPr>
          <w:iCs/>
        </w:rPr>
        <w:t xml:space="preserve">Mulige bivirkninger når du tar </w:t>
      </w:r>
      <w:proofErr w:type="spellStart"/>
      <w:r w:rsidRPr="0045265B">
        <w:rPr>
          <w:iCs/>
        </w:rPr>
        <w:t>Tafinlar</w:t>
      </w:r>
      <w:proofErr w:type="spellEnd"/>
      <w:r w:rsidRPr="0045265B">
        <w:rPr>
          <w:iCs/>
        </w:rPr>
        <w:t xml:space="preserve"> og </w:t>
      </w:r>
      <w:proofErr w:type="spellStart"/>
      <w:r w:rsidRPr="0045265B">
        <w:rPr>
          <w:iCs/>
        </w:rPr>
        <w:t>trametinib</w:t>
      </w:r>
      <w:proofErr w:type="spellEnd"/>
      <w:r w:rsidRPr="0045265B">
        <w:rPr>
          <w:iCs/>
        </w:rPr>
        <w:t xml:space="preserve"> sammen</w:t>
      </w:r>
    </w:p>
    <w:p w14:paraId="393BAEB3" w14:textId="61601D72" w:rsidR="002F6394" w:rsidRDefault="002F6394" w:rsidP="007C1561">
      <w:pPr>
        <w:pStyle w:val="BodytextAgency"/>
        <w:spacing w:before="120"/>
        <w:rPr>
          <w:iCs/>
        </w:rPr>
      </w:pPr>
      <w:r>
        <w:rPr>
          <w:iCs/>
        </w:rPr>
        <w:t>[…]</w:t>
      </w:r>
    </w:p>
    <w:p w14:paraId="73C8E1DA" w14:textId="2D88B172" w:rsidR="002F6394" w:rsidRDefault="002F6394" w:rsidP="007C1561">
      <w:pPr>
        <w:pStyle w:val="BodytextAgency"/>
        <w:spacing w:before="120"/>
        <w:rPr>
          <w:iCs/>
        </w:rPr>
      </w:pPr>
      <w:r w:rsidRPr="002F6394">
        <w:rPr>
          <w:iCs/>
        </w:rPr>
        <w:t>Ikke kjent (kan forekomme hos et ukjent antall personer)</w:t>
      </w:r>
    </w:p>
    <w:p w14:paraId="7E6F7D95" w14:textId="49996CA7" w:rsidR="00293851" w:rsidRPr="0079079A" w:rsidRDefault="002F6394" w:rsidP="007C1561">
      <w:pPr>
        <w:pStyle w:val="BodytextAgency"/>
        <w:numPr>
          <w:ilvl w:val="0"/>
          <w:numId w:val="12"/>
        </w:numPr>
        <w:spacing w:before="120"/>
        <w:rPr>
          <w:b/>
          <w:bCs/>
          <w:iCs/>
          <w:u w:val="single"/>
        </w:rPr>
      </w:pPr>
      <w:r w:rsidRPr="0079079A">
        <w:rPr>
          <w:iCs/>
          <w:u w:val="single"/>
        </w:rPr>
        <w:t xml:space="preserve">Hudreaksjoner </w:t>
      </w:r>
      <w:r w:rsidR="004827FB" w:rsidRPr="0079079A">
        <w:rPr>
          <w:iCs/>
          <w:u w:val="single"/>
        </w:rPr>
        <w:t>i tatoveringer</w:t>
      </w:r>
    </w:p>
    <w:p w14:paraId="4DB53D37" w14:textId="594B0C21" w:rsidR="00293851" w:rsidRPr="00244AB7" w:rsidRDefault="00293851" w:rsidP="007C1561">
      <w:pPr>
        <w:pStyle w:val="BodytextAgency"/>
        <w:spacing w:before="120"/>
        <w:rPr>
          <w:b/>
          <w:bCs/>
          <w:iCs/>
          <w:u w:val="single"/>
        </w:rPr>
      </w:pPr>
      <w:proofErr w:type="spellStart"/>
      <w:r w:rsidRPr="00244AB7">
        <w:rPr>
          <w:b/>
          <w:bCs/>
          <w:iCs/>
          <w:u w:val="single"/>
        </w:rPr>
        <w:lastRenderedPageBreak/>
        <w:t>Finlee</w:t>
      </w:r>
      <w:proofErr w:type="spellEnd"/>
      <w:r w:rsidRPr="00244AB7">
        <w:rPr>
          <w:b/>
          <w:bCs/>
          <w:iCs/>
          <w:u w:val="single"/>
        </w:rPr>
        <w:t xml:space="preserve"> og </w:t>
      </w:r>
      <w:proofErr w:type="spellStart"/>
      <w:r w:rsidRPr="00244AB7">
        <w:rPr>
          <w:b/>
          <w:bCs/>
          <w:iCs/>
          <w:u w:val="single"/>
        </w:rPr>
        <w:t>Spexotras</w:t>
      </w:r>
      <w:proofErr w:type="spellEnd"/>
    </w:p>
    <w:p w14:paraId="4826A146" w14:textId="77777777" w:rsidR="00244AB7" w:rsidRPr="00244AB7" w:rsidRDefault="00244AB7" w:rsidP="007C1561">
      <w:pPr>
        <w:pStyle w:val="BodytextAgency"/>
        <w:spacing w:before="120"/>
        <w:rPr>
          <w:b/>
          <w:bCs/>
          <w:iCs/>
        </w:rPr>
      </w:pPr>
      <w:r w:rsidRPr="00244AB7">
        <w:rPr>
          <w:b/>
          <w:bCs/>
          <w:iCs/>
        </w:rPr>
        <w:t>Preparatomtale</w:t>
      </w:r>
    </w:p>
    <w:p w14:paraId="233E6429" w14:textId="0D05E31C" w:rsidR="00244AB7" w:rsidRDefault="00244AB7" w:rsidP="007C1561">
      <w:pPr>
        <w:pStyle w:val="BodytextAgency"/>
        <w:spacing w:before="120"/>
        <w:rPr>
          <w:iCs/>
        </w:rPr>
      </w:pPr>
      <w:r w:rsidRPr="009570BF">
        <w:rPr>
          <w:iCs/>
        </w:rPr>
        <w:t>4.8 Bivirkninger</w:t>
      </w:r>
    </w:p>
    <w:p w14:paraId="5CF9EBEA" w14:textId="1585B1A1" w:rsidR="008C259D" w:rsidRDefault="00CB1AFA" w:rsidP="007C1561">
      <w:pPr>
        <w:pStyle w:val="BodytextAgency"/>
        <w:spacing w:before="120"/>
        <w:rPr>
          <w:iCs/>
        </w:rPr>
      </w:pPr>
      <w:r>
        <w:rPr>
          <w:iCs/>
        </w:rPr>
        <w:t>Oppsummering av sikkerhetsprofilen</w:t>
      </w:r>
    </w:p>
    <w:p w14:paraId="1159B351" w14:textId="1E451AA6" w:rsidR="008C259D" w:rsidRDefault="00606126" w:rsidP="007C1561">
      <w:pPr>
        <w:pStyle w:val="BodytextAgency"/>
        <w:spacing w:before="120"/>
        <w:rPr>
          <w:iCs/>
        </w:rPr>
      </w:pPr>
      <w:r w:rsidRPr="00606126">
        <w:rPr>
          <w:iCs/>
        </w:rPr>
        <w:t>[…]</w:t>
      </w:r>
    </w:p>
    <w:p w14:paraId="7BB72FDF" w14:textId="634C932E" w:rsidR="002B44B3" w:rsidRDefault="00792224" w:rsidP="007C1561">
      <w:pPr>
        <w:pStyle w:val="BodytextAgency"/>
        <w:spacing w:before="120"/>
        <w:rPr>
          <w:iCs/>
        </w:rPr>
      </w:pPr>
      <w:r w:rsidRPr="00792224">
        <w:rPr>
          <w:iCs/>
        </w:rPr>
        <w:t>[…] Følgende tilleggsbivirkninger har så langt kun blitt rapportert hos voksne pasienter</w:t>
      </w:r>
      <w:r w:rsidR="00621D57">
        <w:rPr>
          <w:iCs/>
        </w:rPr>
        <w:t xml:space="preserve"> </w:t>
      </w:r>
      <w:r w:rsidRPr="00792224">
        <w:rPr>
          <w:iCs/>
        </w:rPr>
        <w:t xml:space="preserve">behandlet med </w:t>
      </w:r>
      <w:proofErr w:type="spellStart"/>
      <w:r w:rsidRPr="00792224">
        <w:rPr>
          <w:iCs/>
        </w:rPr>
        <w:t>dabrafenib</w:t>
      </w:r>
      <w:proofErr w:type="spellEnd"/>
      <w:r w:rsidRPr="00792224">
        <w:rPr>
          <w:iCs/>
        </w:rPr>
        <w:t xml:space="preserve"> kapsler og </w:t>
      </w:r>
      <w:proofErr w:type="spellStart"/>
      <w:r w:rsidRPr="00792224">
        <w:rPr>
          <w:iCs/>
        </w:rPr>
        <w:t>trametinib</w:t>
      </w:r>
      <w:proofErr w:type="spellEnd"/>
      <w:r w:rsidRPr="00792224">
        <w:rPr>
          <w:iCs/>
        </w:rPr>
        <w:t xml:space="preserve"> tabletter:</w:t>
      </w:r>
      <w:r>
        <w:rPr>
          <w:iCs/>
        </w:rPr>
        <w:t xml:space="preserve"> </w:t>
      </w:r>
      <w:r w:rsidRPr="00792224">
        <w:rPr>
          <w:iCs/>
        </w:rPr>
        <w:t>[…]</w:t>
      </w:r>
      <w:r w:rsidR="007C1561">
        <w:rPr>
          <w:iCs/>
        </w:rPr>
        <w:t>,</w:t>
      </w:r>
      <w:r>
        <w:rPr>
          <w:iCs/>
        </w:rPr>
        <w:t xml:space="preserve"> </w:t>
      </w:r>
      <w:r w:rsidRPr="007C1561">
        <w:rPr>
          <w:iCs/>
          <w:u w:val="single"/>
        </w:rPr>
        <w:t>tatoveringsrelaterte hudreaksjoner (frekvens ikke kjent)</w:t>
      </w:r>
      <w:r w:rsidR="002B44B3" w:rsidRPr="002B44B3">
        <w:rPr>
          <w:iCs/>
        </w:rPr>
        <w:t xml:space="preserve"> </w:t>
      </w:r>
    </w:p>
    <w:p w14:paraId="3DFFAF32" w14:textId="77777777" w:rsidR="002B44B3" w:rsidRDefault="002B44B3" w:rsidP="007C1561">
      <w:pPr>
        <w:pStyle w:val="BodytextAgency"/>
        <w:spacing w:before="120"/>
        <w:rPr>
          <w:iCs/>
        </w:rPr>
      </w:pPr>
    </w:p>
    <w:p w14:paraId="3A62A302" w14:textId="287E6B1E" w:rsidR="002B44B3" w:rsidRDefault="007C1561" w:rsidP="007C1561">
      <w:pPr>
        <w:pStyle w:val="BodytextAgency"/>
        <w:spacing w:before="120"/>
        <w:rPr>
          <w:b/>
          <w:bCs/>
          <w:iCs/>
        </w:rPr>
      </w:pPr>
      <w:r w:rsidRPr="003075BD">
        <w:rPr>
          <w:b/>
          <w:bCs/>
          <w:iCs/>
        </w:rPr>
        <w:t>P</w:t>
      </w:r>
      <w:r>
        <w:rPr>
          <w:b/>
          <w:bCs/>
          <w:iCs/>
        </w:rPr>
        <w:t>akningsvedlegg</w:t>
      </w:r>
    </w:p>
    <w:p w14:paraId="21F2FEA2" w14:textId="77DEBD3B" w:rsidR="007C1561" w:rsidRDefault="007C1561" w:rsidP="007C1561">
      <w:pPr>
        <w:pStyle w:val="BodytextAgency"/>
        <w:spacing w:before="120"/>
        <w:rPr>
          <w:iCs/>
        </w:rPr>
      </w:pPr>
      <w:r>
        <w:rPr>
          <w:iCs/>
        </w:rPr>
        <w:t>4. Mulige bivirkninger</w:t>
      </w:r>
    </w:p>
    <w:p w14:paraId="10B31A3E" w14:textId="46655036" w:rsidR="00856E38" w:rsidRDefault="0018798D" w:rsidP="0018798D">
      <w:pPr>
        <w:pStyle w:val="BodytextAgency"/>
        <w:spacing w:before="120"/>
        <w:rPr>
          <w:iCs/>
        </w:rPr>
      </w:pPr>
      <w:r w:rsidRPr="0018798D">
        <w:rPr>
          <w:iCs/>
        </w:rPr>
        <w:t>I tillegg til bivirkningene beskrevet ovenfor, har følgende bivirkninger kun blitt sett hos voksne, men</w:t>
      </w:r>
      <w:r w:rsidR="00C06B49">
        <w:rPr>
          <w:iCs/>
        </w:rPr>
        <w:t xml:space="preserve"> </w:t>
      </w:r>
      <w:r w:rsidRPr="0018798D">
        <w:rPr>
          <w:iCs/>
        </w:rPr>
        <w:t>kan også oppstå hos barn:</w:t>
      </w:r>
    </w:p>
    <w:p w14:paraId="6027A0E7" w14:textId="77777777" w:rsidR="0018798D" w:rsidRPr="0018798D" w:rsidRDefault="0018798D" w:rsidP="0018798D">
      <w:pPr>
        <w:pStyle w:val="Listeavsnitt"/>
        <w:numPr>
          <w:ilvl w:val="0"/>
          <w:numId w:val="12"/>
        </w:numPr>
        <w:rPr>
          <w:rFonts w:ascii="Verdana" w:eastAsia="Verdana" w:hAnsi="Verdana" w:cs="Verdana"/>
          <w:iCs/>
          <w:sz w:val="18"/>
          <w:szCs w:val="18"/>
          <w:u w:val="single"/>
          <w:lang w:eastAsia="en-GB"/>
        </w:rPr>
      </w:pPr>
      <w:r w:rsidRPr="0018798D">
        <w:rPr>
          <w:rFonts w:ascii="Verdana" w:eastAsia="Verdana" w:hAnsi="Verdana" w:cs="Verdana"/>
          <w:iCs/>
          <w:sz w:val="18"/>
          <w:szCs w:val="18"/>
          <w:u w:val="single"/>
          <w:lang w:eastAsia="en-GB"/>
        </w:rPr>
        <w:t>Hudreaksjoner i tatoveringer</w:t>
      </w:r>
    </w:p>
    <w:p w14:paraId="7C6DE37A" w14:textId="77777777" w:rsidR="0018798D" w:rsidRDefault="0018798D" w:rsidP="0018798D">
      <w:pPr>
        <w:pStyle w:val="BodytextAgency"/>
        <w:spacing w:before="120"/>
        <w:rPr>
          <w:iCs/>
        </w:rPr>
      </w:pPr>
    </w:p>
    <w:p w14:paraId="7FEB4F04" w14:textId="5EC1C1C6" w:rsidR="0018798D" w:rsidRDefault="007A37F8" w:rsidP="0018798D">
      <w:pPr>
        <w:pStyle w:val="BodytextAgency"/>
        <w:spacing w:before="120"/>
        <w:rPr>
          <w:iCs/>
        </w:rPr>
      </w:pPr>
      <w:proofErr w:type="spellStart"/>
      <w:r>
        <w:rPr>
          <w:b/>
          <w:bCs/>
          <w:iCs/>
          <w:u w:val="single"/>
        </w:rPr>
        <w:t>Mekinist</w:t>
      </w:r>
      <w:proofErr w:type="spellEnd"/>
    </w:p>
    <w:p w14:paraId="1EE0B7A8" w14:textId="77777777" w:rsidR="002D2D0C" w:rsidRPr="002D2D0C" w:rsidRDefault="002D2D0C" w:rsidP="002D2D0C">
      <w:pPr>
        <w:spacing w:before="120" w:after="140" w:line="280" w:lineRule="atLeast"/>
        <w:rPr>
          <w:rFonts w:ascii="Verdana" w:eastAsia="Verdana" w:hAnsi="Verdana" w:cs="Verdana"/>
          <w:b/>
          <w:bCs/>
          <w:iCs/>
        </w:rPr>
      </w:pPr>
      <w:r w:rsidRPr="002D2D0C">
        <w:rPr>
          <w:rFonts w:ascii="Verdana" w:eastAsia="Verdana" w:hAnsi="Verdana" w:cs="Verdana"/>
          <w:b/>
          <w:bCs/>
          <w:iCs/>
        </w:rPr>
        <w:t>Preparatomtale</w:t>
      </w:r>
    </w:p>
    <w:p w14:paraId="7AF207B0" w14:textId="1B45336A" w:rsidR="0018798D" w:rsidRPr="002D2D0C" w:rsidRDefault="002D2D0C" w:rsidP="002D2D0C">
      <w:pPr>
        <w:spacing w:before="120" w:after="140" w:line="280" w:lineRule="atLeast"/>
        <w:rPr>
          <w:rFonts w:ascii="Verdana" w:eastAsia="Verdana" w:hAnsi="Verdana" w:cs="Verdana"/>
          <w:iCs/>
        </w:rPr>
      </w:pPr>
      <w:r w:rsidRPr="002D2D0C">
        <w:rPr>
          <w:rFonts w:ascii="Verdana" w:eastAsia="Verdana" w:hAnsi="Verdana" w:cs="Verdana"/>
          <w:iCs/>
        </w:rPr>
        <w:t>4.8 Bivirkninger</w:t>
      </w:r>
    </w:p>
    <w:p w14:paraId="5E091F1D" w14:textId="0C01C155" w:rsidR="002B44B3" w:rsidRDefault="002B44B3" w:rsidP="007C1561">
      <w:pPr>
        <w:pStyle w:val="BodytextAgency"/>
        <w:spacing w:before="120"/>
        <w:rPr>
          <w:iCs/>
        </w:rPr>
      </w:pPr>
      <w:r w:rsidRPr="008C259D">
        <w:rPr>
          <w:iCs/>
        </w:rPr>
        <w:t xml:space="preserve">Tabell 5 Bivirkninger med </w:t>
      </w:r>
      <w:proofErr w:type="spellStart"/>
      <w:r w:rsidRPr="008C259D">
        <w:rPr>
          <w:iCs/>
        </w:rPr>
        <w:t>trametinib</w:t>
      </w:r>
      <w:proofErr w:type="spellEnd"/>
      <w:r w:rsidRPr="008C259D">
        <w:rPr>
          <w:iCs/>
        </w:rPr>
        <w:t xml:space="preserve"> i kombinasjon med </w:t>
      </w:r>
      <w:proofErr w:type="spellStart"/>
      <w:r w:rsidRPr="008C259D">
        <w:rPr>
          <w:iCs/>
        </w:rPr>
        <w:t>dabrafenib</w:t>
      </w:r>
      <w:proofErr w:type="spellEnd"/>
    </w:p>
    <w:p w14:paraId="3312797E" w14:textId="77777777" w:rsidR="002D2D0C" w:rsidRPr="002D2D0C" w:rsidRDefault="002D2D0C" w:rsidP="002D2D0C">
      <w:pPr>
        <w:pStyle w:val="BodytextAgency"/>
        <w:spacing w:before="120"/>
        <w:rPr>
          <w:iCs/>
        </w:rPr>
      </w:pPr>
      <w:r w:rsidRPr="002D2D0C">
        <w:rPr>
          <w:iCs/>
        </w:rPr>
        <w:t>Hud- og underhudssykdommer</w:t>
      </w:r>
    </w:p>
    <w:p w14:paraId="66CBAB5E" w14:textId="77777777" w:rsidR="002D2D0C" w:rsidRPr="002D2D0C" w:rsidRDefault="002D2D0C" w:rsidP="002D2D0C">
      <w:pPr>
        <w:pStyle w:val="BodytextAgency"/>
        <w:spacing w:before="120"/>
        <w:rPr>
          <w:iCs/>
        </w:rPr>
      </w:pPr>
      <w:r w:rsidRPr="002D2D0C">
        <w:rPr>
          <w:iCs/>
        </w:rPr>
        <w:t>Frekvens: "Ikke kjent":</w:t>
      </w:r>
    </w:p>
    <w:p w14:paraId="333F217C" w14:textId="3D0D3706" w:rsidR="00792224" w:rsidRDefault="002D2D0C" w:rsidP="002D2D0C">
      <w:pPr>
        <w:pStyle w:val="BodytextAgency"/>
        <w:spacing w:before="120"/>
        <w:rPr>
          <w:iCs/>
          <w:u w:val="single"/>
        </w:rPr>
      </w:pPr>
      <w:r w:rsidRPr="002D2D0C">
        <w:rPr>
          <w:iCs/>
          <w:u w:val="single"/>
        </w:rPr>
        <w:t>Tatoveringsrelaterte hudreaksjoner</w:t>
      </w:r>
    </w:p>
    <w:p w14:paraId="72335B97" w14:textId="77777777" w:rsidR="002D2D0C" w:rsidRDefault="002D2D0C" w:rsidP="002D2D0C">
      <w:pPr>
        <w:pStyle w:val="BodytextAgency"/>
        <w:spacing w:before="120"/>
        <w:rPr>
          <w:iCs/>
          <w:u w:val="single"/>
        </w:rPr>
      </w:pPr>
    </w:p>
    <w:p w14:paraId="5B1A1571" w14:textId="77777777" w:rsidR="002D2D0C" w:rsidRPr="002D2D0C" w:rsidRDefault="002D2D0C" w:rsidP="002D2D0C">
      <w:pPr>
        <w:spacing w:before="120" w:after="140" w:line="280" w:lineRule="atLeast"/>
        <w:rPr>
          <w:rFonts w:ascii="Verdana" w:eastAsia="Verdana" w:hAnsi="Verdana" w:cs="Verdana"/>
          <w:b/>
          <w:bCs/>
          <w:iCs/>
        </w:rPr>
      </w:pPr>
      <w:r w:rsidRPr="002D2D0C">
        <w:rPr>
          <w:rFonts w:ascii="Verdana" w:eastAsia="Verdana" w:hAnsi="Verdana" w:cs="Verdana"/>
          <w:b/>
          <w:bCs/>
          <w:iCs/>
        </w:rPr>
        <w:t>Pakningsvedlegg</w:t>
      </w:r>
    </w:p>
    <w:p w14:paraId="12B573DC" w14:textId="77777777" w:rsidR="002D2D0C" w:rsidRPr="002D2D0C" w:rsidRDefault="002D2D0C" w:rsidP="002D2D0C">
      <w:pPr>
        <w:spacing w:before="120" w:after="140" w:line="280" w:lineRule="atLeast"/>
        <w:rPr>
          <w:rFonts w:ascii="Verdana" w:eastAsia="Verdana" w:hAnsi="Verdana" w:cs="Verdana"/>
          <w:iCs/>
        </w:rPr>
      </w:pPr>
      <w:r w:rsidRPr="002D2D0C">
        <w:rPr>
          <w:rFonts w:ascii="Verdana" w:eastAsia="Verdana" w:hAnsi="Verdana" w:cs="Verdana"/>
          <w:iCs/>
        </w:rPr>
        <w:t>4. Mulige bivirkninger</w:t>
      </w:r>
    </w:p>
    <w:p w14:paraId="2B7D6D43" w14:textId="56F3BF54" w:rsidR="002D2D0C" w:rsidRDefault="002D2D0C" w:rsidP="002D2D0C">
      <w:pPr>
        <w:pStyle w:val="BodytextAgency"/>
        <w:spacing w:before="120"/>
        <w:rPr>
          <w:iCs/>
        </w:rPr>
      </w:pPr>
      <w:r w:rsidRPr="002D2D0C">
        <w:rPr>
          <w:iCs/>
        </w:rPr>
        <w:t xml:space="preserve">Bivirkninger når du tar </w:t>
      </w:r>
      <w:proofErr w:type="spellStart"/>
      <w:r w:rsidRPr="002D2D0C">
        <w:rPr>
          <w:iCs/>
        </w:rPr>
        <w:t>Mekinist</w:t>
      </w:r>
      <w:proofErr w:type="spellEnd"/>
      <w:r w:rsidRPr="002D2D0C">
        <w:rPr>
          <w:iCs/>
        </w:rPr>
        <w:t xml:space="preserve"> og </w:t>
      </w:r>
      <w:proofErr w:type="spellStart"/>
      <w:r w:rsidRPr="002D2D0C">
        <w:rPr>
          <w:iCs/>
        </w:rPr>
        <w:t>dabrafenib</w:t>
      </w:r>
      <w:proofErr w:type="spellEnd"/>
      <w:r w:rsidRPr="002D2D0C">
        <w:rPr>
          <w:iCs/>
        </w:rPr>
        <w:t xml:space="preserve"> sammen</w:t>
      </w:r>
    </w:p>
    <w:p w14:paraId="76171DF1" w14:textId="325E0244" w:rsidR="002D2D0C" w:rsidRDefault="002D2D0C" w:rsidP="002D2D0C">
      <w:pPr>
        <w:pStyle w:val="BodytextAgency"/>
        <w:spacing w:before="120"/>
        <w:rPr>
          <w:iCs/>
        </w:rPr>
      </w:pPr>
      <w:r w:rsidRPr="002D2D0C">
        <w:rPr>
          <w:iCs/>
        </w:rPr>
        <w:t>[…]</w:t>
      </w:r>
    </w:p>
    <w:p w14:paraId="1663880E" w14:textId="658808CC" w:rsidR="002D2D0C" w:rsidRDefault="00FA14D9" w:rsidP="002D2D0C">
      <w:pPr>
        <w:pStyle w:val="BodytextAgency"/>
        <w:spacing w:before="120"/>
        <w:rPr>
          <w:iCs/>
        </w:rPr>
      </w:pPr>
      <w:r w:rsidRPr="00FA14D9">
        <w:rPr>
          <w:iCs/>
        </w:rPr>
        <w:t>Ikke kjent (kan forekomme hos et ukjent antall personer):</w:t>
      </w:r>
    </w:p>
    <w:p w14:paraId="0454308C" w14:textId="3CB0346E" w:rsidR="00FA14D9" w:rsidRDefault="00FA14D9" w:rsidP="002D2D0C">
      <w:pPr>
        <w:pStyle w:val="BodytextAgency"/>
        <w:spacing w:before="120"/>
        <w:rPr>
          <w:iCs/>
          <w:u w:val="single"/>
        </w:rPr>
      </w:pPr>
      <w:r w:rsidRPr="00FA14D9">
        <w:rPr>
          <w:iCs/>
        </w:rPr>
        <w:t>•</w:t>
      </w:r>
      <w:r w:rsidRPr="00FA14D9">
        <w:rPr>
          <w:iCs/>
        </w:rPr>
        <w:tab/>
      </w:r>
      <w:r w:rsidRPr="00FA14D9">
        <w:rPr>
          <w:iCs/>
          <w:u w:val="single"/>
        </w:rPr>
        <w:t>Hudreaksjoner i tatoveringer</w:t>
      </w:r>
    </w:p>
    <w:p w14:paraId="204E08BC" w14:textId="77777777" w:rsidR="00451FE3" w:rsidRDefault="00451FE3" w:rsidP="002D2D0C">
      <w:pPr>
        <w:pStyle w:val="BodytextAgency"/>
        <w:spacing w:before="120"/>
        <w:rPr>
          <w:iCs/>
          <w:u w:val="single"/>
        </w:rPr>
      </w:pPr>
    </w:p>
    <w:p w14:paraId="66DF44CB" w14:textId="77777777" w:rsidR="00451FE3" w:rsidRDefault="00451FE3" w:rsidP="002D2D0C">
      <w:pPr>
        <w:pStyle w:val="BodytextAgency"/>
        <w:spacing w:before="120"/>
        <w:rPr>
          <w:iCs/>
          <w:u w:val="single"/>
        </w:rPr>
      </w:pPr>
    </w:p>
    <w:p w14:paraId="43E82EA0" w14:textId="77777777" w:rsidR="00451FE3" w:rsidRDefault="00451FE3" w:rsidP="002D2D0C">
      <w:pPr>
        <w:pStyle w:val="BodytextAgency"/>
        <w:spacing w:before="120"/>
        <w:rPr>
          <w:iCs/>
          <w:u w:val="single"/>
        </w:rPr>
      </w:pPr>
    </w:p>
    <w:p w14:paraId="6A87A350" w14:textId="77777777" w:rsidR="00451FE3" w:rsidRDefault="00451FE3" w:rsidP="002D2D0C">
      <w:pPr>
        <w:pStyle w:val="BodytextAgency"/>
        <w:spacing w:before="120"/>
        <w:rPr>
          <w:iCs/>
          <w:u w:val="single"/>
        </w:rPr>
      </w:pPr>
    </w:p>
    <w:p w14:paraId="6F46B757" w14:textId="77777777" w:rsidR="00451FE3" w:rsidRDefault="00451FE3" w:rsidP="002D2D0C">
      <w:pPr>
        <w:pStyle w:val="BodytextAgency"/>
        <w:spacing w:before="120"/>
        <w:rPr>
          <w:iCs/>
          <w:u w:val="single"/>
        </w:rPr>
      </w:pPr>
    </w:p>
    <w:p w14:paraId="1082EFE6" w14:textId="2F0CA010" w:rsidR="00451FE3" w:rsidRPr="00D32D85" w:rsidRDefault="00451FE3" w:rsidP="00451FE3">
      <w:pPr>
        <w:pStyle w:val="Heading1Agency"/>
        <w:numPr>
          <w:ilvl w:val="0"/>
          <w:numId w:val="5"/>
        </w:numPr>
      </w:pPr>
      <w:proofErr w:type="spellStart"/>
      <w:r w:rsidRPr="00D32D85">
        <w:rPr>
          <w:lang w:eastAsia="en-US"/>
        </w:rPr>
        <w:lastRenderedPageBreak/>
        <w:t>Diazo</w:t>
      </w:r>
      <w:r w:rsidR="00C010CD">
        <w:rPr>
          <w:lang w:eastAsia="en-US"/>
        </w:rPr>
        <w:t>ks</w:t>
      </w:r>
      <w:r w:rsidRPr="00D32D85">
        <w:rPr>
          <w:lang w:eastAsia="en-US"/>
        </w:rPr>
        <w:t>id</w:t>
      </w:r>
      <w:proofErr w:type="spellEnd"/>
      <w:r w:rsidRPr="00D32D85">
        <w:t xml:space="preserve"> – </w:t>
      </w:r>
      <w:r w:rsidR="00D32D85" w:rsidRPr="00D32D85">
        <w:rPr>
          <w:lang w:eastAsia="en-US"/>
        </w:rPr>
        <w:t>Neonatal</w:t>
      </w:r>
      <w:r w:rsidR="00D32D85" w:rsidRPr="00D32D85">
        <w:t xml:space="preserve"> </w:t>
      </w:r>
      <w:proofErr w:type="spellStart"/>
      <w:r w:rsidR="00D32D85" w:rsidRPr="00D32D85">
        <w:rPr>
          <w:lang w:eastAsia="en-US"/>
        </w:rPr>
        <w:t>n</w:t>
      </w:r>
      <w:r w:rsidRPr="00D32D85">
        <w:rPr>
          <w:lang w:eastAsia="en-US"/>
        </w:rPr>
        <w:t>e</w:t>
      </w:r>
      <w:r w:rsidR="00D32D85" w:rsidRPr="00D32D85">
        <w:rPr>
          <w:lang w:eastAsia="en-US"/>
        </w:rPr>
        <w:t>k</w:t>
      </w:r>
      <w:r w:rsidRPr="00D32D85">
        <w:rPr>
          <w:lang w:eastAsia="en-US"/>
        </w:rPr>
        <w:t>rotis</w:t>
      </w:r>
      <w:r w:rsidR="00D32D85" w:rsidRPr="00D32D85">
        <w:rPr>
          <w:lang w:eastAsia="en-US"/>
        </w:rPr>
        <w:t>erende</w:t>
      </w:r>
      <w:proofErr w:type="spellEnd"/>
      <w:r w:rsidR="00D32D85" w:rsidRPr="00D32D85">
        <w:rPr>
          <w:lang w:eastAsia="en-US"/>
        </w:rPr>
        <w:t xml:space="preserve"> </w:t>
      </w:r>
      <w:r w:rsidRPr="00D32D85">
        <w:rPr>
          <w:lang w:eastAsia="en-US"/>
        </w:rPr>
        <w:t>entero</w:t>
      </w:r>
      <w:r w:rsidR="00D32D85">
        <w:rPr>
          <w:lang w:eastAsia="en-US"/>
        </w:rPr>
        <w:t>kolitt</w:t>
      </w:r>
      <w:r w:rsidRPr="00D32D85">
        <w:rPr>
          <w:lang w:eastAsia="en-US"/>
        </w:rPr>
        <w:t xml:space="preserve"> </w:t>
      </w:r>
      <w:r w:rsidRPr="00D32D85">
        <w:t>(EPITT n</w:t>
      </w:r>
      <w:r w:rsidR="00D32D85">
        <w:t>r.</w:t>
      </w:r>
      <w:r w:rsidRPr="00D32D85">
        <w:t xml:space="preserve"> 20163)</w:t>
      </w:r>
    </w:p>
    <w:p w14:paraId="0224B095" w14:textId="5DCA2278" w:rsidR="00451FE3" w:rsidRPr="006F0F66" w:rsidRDefault="0068289B" w:rsidP="00451FE3">
      <w:pPr>
        <w:pStyle w:val="BodytextAgency"/>
        <w:rPr>
          <w:i/>
          <w:iCs/>
        </w:rPr>
      </w:pPr>
      <w:r w:rsidRPr="006F0F66">
        <w:rPr>
          <w:i/>
          <w:iCs/>
        </w:rPr>
        <w:t>Det kan være nødvendig for MT-innehavere å tilpasse teksten for enkelte produkter med tanke på allerede eksisterende ordlyd for noen nasjonalt godkjente produkter.</w:t>
      </w:r>
    </w:p>
    <w:p w14:paraId="61FD068F" w14:textId="77777777" w:rsidR="00C118F8" w:rsidRPr="002D2D0C" w:rsidRDefault="00C118F8" w:rsidP="00C118F8">
      <w:pPr>
        <w:spacing w:before="120" w:after="140" w:line="280" w:lineRule="atLeast"/>
        <w:rPr>
          <w:rFonts w:ascii="Verdana" w:eastAsia="Verdana" w:hAnsi="Verdana" w:cs="Verdana"/>
          <w:b/>
          <w:bCs/>
          <w:iCs/>
        </w:rPr>
      </w:pPr>
      <w:r w:rsidRPr="002D2D0C">
        <w:rPr>
          <w:rFonts w:ascii="Verdana" w:eastAsia="Verdana" w:hAnsi="Verdana" w:cs="Verdana"/>
          <w:b/>
          <w:bCs/>
          <w:iCs/>
        </w:rPr>
        <w:t>Preparatomtale</w:t>
      </w:r>
    </w:p>
    <w:p w14:paraId="0B4B2D77" w14:textId="2477540D" w:rsidR="00451FE3" w:rsidRDefault="00EA4725" w:rsidP="002D2D0C">
      <w:pPr>
        <w:pStyle w:val="BodytextAgency"/>
        <w:spacing w:before="120"/>
        <w:rPr>
          <w:iCs/>
        </w:rPr>
      </w:pPr>
      <w:r>
        <w:rPr>
          <w:iCs/>
        </w:rPr>
        <w:t>4.4 Advarsler og forsiktighetsregler</w:t>
      </w:r>
    </w:p>
    <w:p w14:paraId="63546D58" w14:textId="3E9EEBBC" w:rsidR="00EA4725" w:rsidRPr="00D36F51" w:rsidRDefault="00D36F51" w:rsidP="002D2D0C">
      <w:pPr>
        <w:pStyle w:val="BodytextAgency"/>
        <w:spacing w:before="120"/>
        <w:rPr>
          <w:iCs/>
          <w:u w:val="single"/>
        </w:rPr>
      </w:pPr>
      <w:r w:rsidRPr="00D36F51">
        <w:rPr>
          <w:iCs/>
          <w:u w:val="single"/>
        </w:rPr>
        <w:t xml:space="preserve">Neonatal </w:t>
      </w:r>
      <w:proofErr w:type="spellStart"/>
      <w:r w:rsidRPr="00D36F51">
        <w:rPr>
          <w:iCs/>
          <w:u w:val="single"/>
        </w:rPr>
        <w:t>nekrotiserende</w:t>
      </w:r>
      <w:proofErr w:type="spellEnd"/>
      <w:r w:rsidRPr="00D36F51">
        <w:rPr>
          <w:iCs/>
          <w:u w:val="single"/>
        </w:rPr>
        <w:t xml:space="preserve"> enterokolitt</w:t>
      </w:r>
    </w:p>
    <w:p w14:paraId="5DD586C9" w14:textId="1734018F" w:rsidR="00D36F51" w:rsidRDefault="00D36F51" w:rsidP="002D2D0C">
      <w:pPr>
        <w:pStyle w:val="BodytextAgency"/>
        <w:spacing w:before="120"/>
        <w:rPr>
          <w:iCs/>
          <w:u w:val="single"/>
        </w:rPr>
      </w:pPr>
      <w:r w:rsidRPr="00D36F51">
        <w:rPr>
          <w:iCs/>
          <w:u w:val="single"/>
        </w:rPr>
        <w:t xml:space="preserve">Tilfeller av </w:t>
      </w:r>
      <w:proofErr w:type="spellStart"/>
      <w:r w:rsidRPr="00D36F51">
        <w:rPr>
          <w:iCs/>
          <w:u w:val="single"/>
        </w:rPr>
        <w:t>nekrotiserende</w:t>
      </w:r>
      <w:proofErr w:type="spellEnd"/>
      <w:r w:rsidRPr="00D36F51">
        <w:rPr>
          <w:iCs/>
          <w:u w:val="single"/>
        </w:rPr>
        <w:t xml:space="preserve"> enterokolitt (NEC), inkludert fatale tilfeller, har blitt rapportert hos nyfødte behandlet med </w:t>
      </w:r>
      <w:proofErr w:type="spellStart"/>
      <w:r w:rsidRPr="00D36F51">
        <w:rPr>
          <w:iCs/>
          <w:u w:val="single"/>
        </w:rPr>
        <w:t>diazoksid</w:t>
      </w:r>
      <w:proofErr w:type="spellEnd"/>
      <w:r w:rsidRPr="00D36F51">
        <w:rPr>
          <w:iCs/>
          <w:u w:val="single"/>
        </w:rPr>
        <w:t xml:space="preserve"> (se </w:t>
      </w:r>
      <w:r w:rsidR="00906892">
        <w:rPr>
          <w:iCs/>
          <w:u w:val="single"/>
        </w:rPr>
        <w:t>pkt.</w:t>
      </w:r>
      <w:r w:rsidRPr="00D36F51">
        <w:rPr>
          <w:iCs/>
          <w:u w:val="single"/>
        </w:rPr>
        <w:t xml:space="preserve"> 4.8). Pasienter bør overvåkes for symptomer som oppkast, abdominal </w:t>
      </w:r>
      <w:r w:rsidR="007F7B54">
        <w:rPr>
          <w:iCs/>
          <w:u w:val="single"/>
        </w:rPr>
        <w:t>distensjon</w:t>
      </w:r>
      <w:r w:rsidRPr="00D36F51">
        <w:rPr>
          <w:iCs/>
          <w:u w:val="single"/>
        </w:rPr>
        <w:t xml:space="preserve">, blodige avføringer og </w:t>
      </w:r>
      <w:r w:rsidR="00281921">
        <w:rPr>
          <w:iCs/>
          <w:u w:val="single"/>
        </w:rPr>
        <w:t>letargi</w:t>
      </w:r>
      <w:r w:rsidRPr="00D36F51">
        <w:rPr>
          <w:iCs/>
          <w:u w:val="single"/>
        </w:rPr>
        <w:t xml:space="preserve">, spesielt de med økte risikofaktorer (som premature nyfødte). </w:t>
      </w:r>
      <w:proofErr w:type="spellStart"/>
      <w:r w:rsidR="00EF152B">
        <w:rPr>
          <w:iCs/>
          <w:u w:val="single"/>
        </w:rPr>
        <w:t>D</w:t>
      </w:r>
      <w:r w:rsidRPr="00D36F51">
        <w:rPr>
          <w:iCs/>
          <w:u w:val="single"/>
        </w:rPr>
        <w:t>iazoksid</w:t>
      </w:r>
      <w:proofErr w:type="spellEnd"/>
      <w:r w:rsidRPr="00D36F51">
        <w:rPr>
          <w:iCs/>
          <w:u w:val="single"/>
        </w:rPr>
        <w:t xml:space="preserve"> bør </w:t>
      </w:r>
      <w:r w:rsidR="00EF152B">
        <w:rPr>
          <w:iCs/>
          <w:u w:val="single"/>
        </w:rPr>
        <w:t>seponeres</w:t>
      </w:r>
      <w:r w:rsidRPr="00D36F51">
        <w:rPr>
          <w:iCs/>
          <w:u w:val="single"/>
        </w:rPr>
        <w:t xml:space="preserve"> dersom NEC mistenkes, og passende klinisk behandling bør igangsettes.</w:t>
      </w:r>
    </w:p>
    <w:p w14:paraId="025A8965" w14:textId="77777777" w:rsidR="00142EA6" w:rsidRDefault="00142EA6" w:rsidP="002D2D0C">
      <w:pPr>
        <w:pStyle w:val="BodytextAgency"/>
        <w:spacing w:before="120"/>
        <w:rPr>
          <w:iCs/>
          <w:u w:val="single"/>
        </w:rPr>
      </w:pPr>
    </w:p>
    <w:p w14:paraId="5C1D2F18" w14:textId="0C177E9C" w:rsidR="00D36F51" w:rsidRDefault="00142EA6" w:rsidP="002D2D0C">
      <w:pPr>
        <w:pStyle w:val="BodytextAgency"/>
        <w:spacing w:before="120"/>
        <w:rPr>
          <w:iCs/>
        </w:rPr>
      </w:pPr>
      <w:r w:rsidRPr="00142EA6">
        <w:rPr>
          <w:iCs/>
        </w:rPr>
        <w:t>4.8 Bivirkninger</w:t>
      </w:r>
    </w:p>
    <w:p w14:paraId="7EF6DC08" w14:textId="2ED0EFE6" w:rsidR="00142EA6" w:rsidRDefault="00142EA6" w:rsidP="002D2D0C">
      <w:pPr>
        <w:pStyle w:val="BodytextAgency"/>
        <w:spacing w:before="120"/>
        <w:rPr>
          <w:iCs/>
        </w:rPr>
      </w:pPr>
      <w:r>
        <w:rPr>
          <w:iCs/>
        </w:rPr>
        <w:t>Gastrointestinale sykdommer</w:t>
      </w:r>
    </w:p>
    <w:p w14:paraId="6409CA76" w14:textId="3C1AE212" w:rsidR="00142EA6" w:rsidRDefault="00142EA6" w:rsidP="002D2D0C">
      <w:pPr>
        <w:pStyle w:val="BodytextAgency"/>
        <w:spacing w:before="120"/>
        <w:rPr>
          <w:iCs/>
        </w:rPr>
      </w:pPr>
      <w:r w:rsidRPr="00142EA6">
        <w:rPr>
          <w:iCs/>
        </w:rPr>
        <w:t>Frekvens: "Ikke kjent":</w:t>
      </w:r>
    </w:p>
    <w:p w14:paraId="29684943" w14:textId="46C9E3B5" w:rsidR="0097006E" w:rsidRDefault="0097006E" w:rsidP="002D2D0C">
      <w:pPr>
        <w:pStyle w:val="BodytextAgency"/>
        <w:spacing w:before="120"/>
        <w:rPr>
          <w:iCs/>
          <w:u w:val="single"/>
        </w:rPr>
      </w:pPr>
      <w:r w:rsidRPr="0097006E">
        <w:rPr>
          <w:iCs/>
          <w:u w:val="single"/>
        </w:rPr>
        <w:t xml:space="preserve">Neonatal </w:t>
      </w:r>
      <w:proofErr w:type="spellStart"/>
      <w:r w:rsidRPr="0097006E">
        <w:rPr>
          <w:iCs/>
          <w:u w:val="single"/>
        </w:rPr>
        <w:t>nekrotiserende</w:t>
      </w:r>
      <w:proofErr w:type="spellEnd"/>
      <w:r w:rsidRPr="0097006E">
        <w:rPr>
          <w:iCs/>
          <w:u w:val="single"/>
        </w:rPr>
        <w:t xml:space="preserve"> enterokolitt</w:t>
      </w:r>
    </w:p>
    <w:p w14:paraId="4A060EC3" w14:textId="77777777" w:rsidR="0097006E" w:rsidRDefault="0097006E" w:rsidP="002D2D0C">
      <w:pPr>
        <w:pStyle w:val="BodytextAgency"/>
        <w:spacing w:before="120"/>
        <w:rPr>
          <w:iCs/>
          <w:u w:val="single"/>
        </w:rPr>
      </w:pPr>
    </w:p>
    <w:p w14:paraId="668DA96A" w14:textId="77777777" w:rsidR="0097006E" w:rsidRDefault="0097006E" w:rsidP="0097006E">
      <w:pPr>
        <w:spacing w:before="120" w:after="140" w:line="280" w:lineRule="atLeast"/>
        <w:rPr>
          <w:rFonts w:ascii="Verdana" w:eastAsia="Verdana" w:hAnsi="Verdana" w:cs="Verdana"/>
          <w:b/>
          <w:bCs/>
          <w:iCs/>
        </w:rPr>
      </w:pPr>
      <w:r w:rsidRPr="002D2D0C">
        <w:rPr>
          <w:rFonts w:ascii="Verdana" w:eastAsia="Verdana" w:hAnsi="Verdana" w:cs="Verdana"/>
          <w:b/>
          <w:bCs/>
          <w:iCs/>
        </w:rPr>
        <w:t>Pakningsvedlegg</w:t>
      </w:r>
    </w:p>
    <w:p w14:paraId="1FBFCE87" w14:textId="532E7DE5" w:rsidR="0097006E" w:rsidRDefault="0097006E" w:rsidP="0097006E">
      <w:pPr>
        <w:spacing w:before="120" w:after="140" w:line="280" w:lineRule="atLeast"/>
        <w:rPr>
          <w:rFonts w:ascii="Verdana" w:eastAsia="Verdana" w:hAnsi="Verdana" w:cs="Verdana"/>
          <w:iCs/>
        </w:rPr>
      </w:pPr>
      <w:r w:rsidRPr="0097006E">
        <w:rPr>
          <w:rFonts w:ascii="Verdana" w:eastAsia="Verdana" w:hAnsi="Verdana" w:cs="Verdana"/>
          <w:iCs/>
        </w:rPr>
        <w:t>2. Hva du må vite før du bruker [legemiddelnavn]</w:t>
      </w:r>
    </w:p>
    <w:p w14:paraId="0F20178E" w14:textId="6E3D6B14" w:rsidR="0097006E" w:rsidRDefault="0097006E" w:rsidP="0097006E">
      <w:pPr>
        <w:spacing w:before="120" w:after="140" w:line="280" w:lineRule="atLeast"/>
        <w:rPr>
          <w:rFonts w:ascii="Verdana" w:eastAsia="Verdana" w:hAnsi="Verdana" w:cs="Verdana"/>
          <w:iCs/>
        </w:rPr>
      </w:pPr>
      <w:r w:rsidRPr="0097006E">
        <w:rPr>
          <w:rFonts w:ascii="Verdana" w:eastAsia="Verdana" w:hAnsi="Verdana" w:cs="Verdana"/>
          <w:iCs/>
        </w:rPr>
        <w:t>[…]</w:t>
      </w:r>
    </w:p>
    <w:p w14:paraId="2EF224EF" w14:textId="1F8D88A8" w:rsidR="000945F3" w:rsidRPr="000945F3" w:rsidRDefault="008E746F" w:rsidP="000945F3">
      <w:pPr>
        <w:spacing w:before="120" w:after="140" w:line="280" w:lineRule="atLeast"/>
        <w:rPr>
          <w:rFonts w:ascii="Verdana" w:eastAsia="Verdana" w:hAnsi="Verdana" w:cs="Verdana"/>
          <w:iCs/>
          <w:u w:val="single"/>
        </w:rPr>
      </w:pPr>
      <w:r>
        <w:rPr>
          <w:rFonts w:ascii="Verdana" w:eastAsia="Verdana" w:hAnsi="Verdana" w:cs="Verdana"/>
          <w:iCs/>
          <w:u w:val="single"/>
        </w:rPr>
        <w:t>Snakk med</w:t>
      </w:r>
      <w:r w:rsidR="000945F3" w:rsidRPr="000945F3">
        <w:rPr>
          <w:rFonts w:ascii="Verdana" w:eastAsia="Verdana" w:hAnsi="Verdana" w:cs="Verdana"/>
          <w:iCs/>
          <w:u w:val="single"/>
        </w:rPr>
        <w:t xml:space="preserve"> legen din umiddelbart hvis noe av følgende skjer med barnet ditt som </w:t>
      </w:r>
      <w:r>
        <w:rPr>
          <w:rFonts w:ascii="Verdana" w:eastAsia="Verdana" w:hAnsi="Verdana" w:cs="Verdana"/>
          <w:iCs/>
          <w:u w:val="single"/>
        </w:rPr>
        <w:t>får</w:t>
      </w:r>
      <w:r w:rsidR="000945F3" w:rsidRPr="000945F3">
        <w:rPr>
          <w:rFonts w:ascii="Verdana" w:eastAsia="Verdana" w:hAnsi="Verdana" w:cs="Verdana"/>
          <w:iCs/>
          <w:u w:val="single"/>
        </w:rPr>
        <w:t xml:space="preserve"> &lt;produktnavn&gt;:</w:t>
      </w:r>
    </w:p>
    <w:p w14:paraId="23B38EFB" w14:textId="4E66AC8D" w:rsidR="0097006E" w:rsidRDefault="000945F3" w:rsidP="000945F3">
      <w:pPr>
        <w:spacing w:before="120" w:after="140" w:line="280" w:lineRule="atLeast"/>
        <w:rPr>
          <w:rFonts w:ascii="Verdana" w:eastAsia="Verdana" w:hAnsi="Verdana" w:cs="Verdana"/>
          <w:iCs/>
          <w:u w:val="single"/>
        </w:rPr>
      </w:pPr>
      <w:r>
        <w:rPr>
          <w:rFonts w:ascii="Verdana" w:eastAsia="Verdana" w:hAnsi="Verdana" w:cs="Verdana"/>
          <w:iCs/>
          <w:u w:val="single"/>
        </w:rPr>
        <w:t xml:space="preserve">- </w:t>
      </w:r>
      <w:r w:rsidRPr="000945F3">
        <w:rPr>
          <w:rFonts w:ascii="Verdana" w:eastAsia="Verdana" w:hAnsi="Verdana" w:cs="Verdana"/>
          <w:iCs/>
          <w:u w:val="single"/>
        </w:rPr>
        <w:t>oppblåst</w:t>
      </w:r>
      <w:r w:rsidR="00F26209">
        <w:rPr>
          <w:rFonts w:ascii="Verdana" w:eastAsia="Verdana" w:hAnsi="Verdana" w:cs="Verdana"/>
          <w:iCs/>
          <w:u w:val="single"/>
        </w:rPr>
        <w:t xml:space="preserve"> mage</w:t>
      </w:r>
      <w:r w:rsidRPr="000945F3">
        <w:rPr>
          <w:rFonts w:ascii="Verdana" w:eastAsia="Verdana" w:hAnsi="Verdana" w:cs="Verdana"/>
          <w:iCs/>
          <w:u w:val="single"/>
        </w:rPr>
        <w:t>, smerte</w:t>
      </w:r>
      <w:r w:rsidR="007E07FB">
        <w:rPr>
          <w:rFonts w:ascii="Verdana" w:eastAsia="Verdana" w:hAnsi="Verdana" w:cs="Verdana"/>
          <w:iCs/>
          <w:u w:val="single"/>
        </w:rPr>
        <w:t>r</w:t>
      </w:r>
      <w:r w:rsidRPr="000945F3">
        <w:rPr>
          <w:rFonts w:ascii="Verdana" w:eastAsia="Verdana" w:hAnsi="Verdana" w:cs="Verdana"/>
          <w:iCs/>
          <w:u w:val="single"/>
        </w:rPr>
        <w:t xml:space="preserve">, hevelse eller ubehag, blodige avføringer, intoleranse for mat (oppkast, dårlig matinntak), sløvhet, da dette kan være tegn på alvorlig betennelse i tarmen (en tilstand kalt </w:t>
      </w:r>
      <w:proofErr w:type="spellStart"/>
      <w:r w:rsidRPr="000945F3">
        <w:rPr>
          <w:rFonts w:ascii="Verdana" w:eastAsia="Verdana" w:hAnsi="Verdana" w:cs="Verdana"/>
          <w:iCs/>
          <w:u w:val="single"/>
        </w:rPr>
        <w:t>nekrotiserende</w:t>
      </w:r>
      <w:proofErr w:type="spellEnd"/>
      <w:r w:rsidRPr="000945F3">
        <w:rPr>
          <w:rFonts w:ascii="Verdana" w:eastAsia="Verdana" w:hAnsi="Verdana" w:cs="Verdana"/>
          <w:iCs/>
          <w:u w:val="single"/>
        </w:rPr>
        <w:t xml:space="preserve"> enterokolitt hos nyfødte)</w:t>
      </w:r>
    </w:p>
    <w:p w14:paraId="4CF27BEA" w14:textId="77777777" w:rsidR="000945F3" w:rsidRPr="002D2D0C" w:rsidRDefault="000945F3" w:rsidP="000945F3">
      <w:pPr>
        <w:spacing w:before="120" w:after="140" w:line="280" w:lineRule="atLeast"/>
        <w:rPr>
          <w:rFonts w:ascii="Verdana" w:eastAsia="Verdana" w:hAnsi="Verdana" w:cs="Verdana"/>
          <w:iCs/>
          <w:u w:val="single"/>
        </w:rPr>
      </w:pPr>
    </w:p>
    <w:p w14:paraId="63A927F0" w14:textId="77777777" w:rsidR="0097006E" w:rsidRPr="002D2D0C" w:rsidRDefault="0097006E" w:rsidP="0097006E">
      <w:pPr>
        <w:spacing w:before="120" w:after="140" w:line="280" w:lineRule="atLeast"/>
        <w:rPr>
          <w:rFonts w:ascii="Verdana" w:eastAsia="Verdana" w:hAnsi="Verdana" w:cs="Verdana"/>
          <w:iCs/>
        </w:rPr>
      </w:pPr>
      <w:r w:rsidRPr="002D2D0C">
        <w:rPr>
          <w:rFonts w:ascii="Verdana" w:eastAsia="Verdana" w:hAnsi="Verdana" w:cs="Verdana"/>
          <w:iCs/>
        </w:rPr>
        <w:t>4. Mulige bivirkninger</w:t>
      </w:r>
    </w:p>
    <w:p w14:paraId="73ED251B" w14:textId="7D741D30" w:rsidR="0097006E" w:rsidRDefault="006739ED" w:rsidP="002D2D0C">
      <w:pPr>
        <w:pStyle w:val="BodytextAgency"/>
        <w:spacing w:before="120"/>
        <w:rPr>
          <w:iCs/>
        </w:rPr>
      </w:pPr>
      <w:r w:rsidRPr="006739ED">
        <w:rPr>
          <w:iCs/>
        </w:rPr>
        <w:t>Frekvens: "Ikke kjent"</w:t>
      </w:r>
    </w:p>
    <w:p w14:paraId="5108DEB6" w14:textId="77777777" w:rsidR="00161E48" w:rsidRPr="00161E48" w:rsidRDefault="00161E48" w:rsidP="00161E48">
      <w:pPr>
        <w:rPr>
          <w:rFonts w:ascii="Verdana" w:eastAsia="Verdana" w:hAnsi="Verdana" w:cs="Verdana"/>
          <w:iCs/>
          <w:u w:val="single"/>
        </w:rPr>
      </w:pPr>
      <w:r w:rsidRPr="00161E48">
        <w:rPr>
          <w:rFonts w:ascii="Verdana" w:eastAsia="Verdana" w:hAnsi="Verdana" w:cs="Verdana"/>
          <w:iCs/>
          <w:u w:val="single"/>
        </w:rPr>
        <w:t>Tarmbetennelse med blodige avføringer og vevsdød hos nyfødte (</w:t>
      </w:r>
      <w:proofErr w:type="spellStart"/>
      <w:r w:rsidRPr="00161E48">
        <w:rPr>
          <w:rFonts w:ascii="Verdana" w:eastAsia="Verdana" w:hAnsi="Verdana" w:cs="Verdana"/>
          <w:iCs/>
          <w:u w:val="single"/>
        </w:rPr>
        <w:t>nekrotiserende</w:t>
      </w:r>
      <w:proofErr w:type="spellEnd"/>
      <w:r w:rsidRPr="00161E48">
        <w:rPr>
          <w:rFonts w:ascii="Verdana" w:eastAsia="Verdana" w:hAnsi="Verdana" w:cs="Verdana"/>
          <w:iCs/>
          <w:u w:val="single"/>
        </w:rPr>
        <w:t xml:space="preserve"> enterokolitt hos nyfødte).</w:t>
      </w:r>
    </w:p>
    <w:p w14:paraId="09FC8DAA" w14:textId="77777777" w:rsidR="006739ED" w:rsidRDefault="006739ED" w:rsidP="002D2D0C">
      <w:pPr>
        <w:pStyle w:val="BodytextAgency"/>
        <w:spacing w:before="120"/>
        <w:rPr>
          <w:iCs/>
        </w:rPr>
      </w:pPr>
    </w:p>
    <w:p w14:paraId="653C9213" w14:textId="111DD5A6" w:rsidR="00C7340A" w:rsidRDefault="00C7340A" w:rsidP="00C7340A">
      <w:pPr>
        <w:pStyle w:val="Heading1Agency"/>
        <w:rPr>
          <w:lang w:eastAsia="en-US"/>
        </w:rPr>
      </w:pPr>
      <w:proofErr w:type="spellStart"/>
      <w:r w:rsidRPr="00C7340A">
        <w:rPr>
          <w:lang w:eastAsia="en-US"/>
        </w:rPr>
        <w:t>Dinutu</w:t>
      </w:r>
      <w:r>
        <w:rPr>
          <w:lang w:eastAsia="en-US"/>
        </w:rPr>
        <w:t>ks</w:t>
      </w:r>
      <w:r w:rsidRPr="00C7340A">
        <w:rPr>
          <w:lang w:eastAsia="en-US"/>
        </w:rPr>
        <w:t>imab</w:t>
      </w:r>
      <w:proofErr w:type="spellEnd"/>
      <w:r w:rsidRPr="00C7340A">
        <w:rPr>
          <w:lang w:eastAsia="en-US"/>
        </w:rPr>
        <w:t xml:space="preserve"> beta</w:t>
      </w:r>
      <w:r w:rsidR="00A17B65">
        <w:rPr>
          <w:lang w:eastAsia="en-US"/>
        </w:rPr>
        <w:t xml:space="preserve"> – Atypisk hemolytisk</w:t>
      </w:r>
      <w:r w:rsidR="003728B2">
        <w:rPr>
          <w:lang w:eastAsia="en-US"/>
        </w:rPr>
        <w:t>-</w:t>
      </w:r>
      <w:r w:rsidR="00A17B65">
        <w:rPr>
          <w:lang w:eastAsia="en-US"/>
        </w:rPr>
        <w:t xml:space="preserve">uremisk syndrom </w:t>
      </w:r>
      <w:r w:rsidR="00A17B65" w:rsidRPr="00A17B65">
        <w:rPr>
          <w:lang w:eastAsia="en-US"/>
        </w:rPr>
        <w:t>(EPITT n</w:t>
      </w:r>
      <w:r w:rsidR="00A17B65">
        <w:rPr>
          <w:lang w:eastAsia="en-US"/>
        </w:rPr>
        <w:t>r.</w:t>
      </w:r>
      <w:r w:rsidR="00A17B65" w:rsidRPr="00A17B65">
        <w:rPr>
          <w:lang w:eastAsia="en-US"/>
        </w:rPr>
        <w:t xml:space="preserve"> 20169)</w:t>
      </w:r>
    </w:p>
    <w:p w14:paraId="15201705" w14:textId="5B968617" w:rsidR="007458EA" w:rsidRDefault="007458EA" w:rsidP="007458EA">
      <w:pPr>
        <w:pStyle w:val="BodytextAgency"/>
        <w:rPr>
          <w:b/>
          <w:bCs/>
          <w:lang w:eastAsia="en-US"/>
        </w:rPr>
      </w:pPr>
      <w:r w:rsidRPr="007458EA">
        <w:rPr>
          <w:b/>
          <w:bCs/>
          <w:lang w:eastAsia="en-US"/>
        </w:rPr>
        <w:t>Preparatomtale</w:t>
      </w:r>
    </w:p>
    <w:p w14:paraId="6AB8ECF9" w14:textId="2EB16664" w:rsidR="00F252A5" w:rsidRDefault="00F252A5" w:rsidP="007458EA">
      <w:pPr>
        <w:pStyle w:val="BodytextAgency"/>
        <w:rPr>
          <w:lang w:eastAsia="en-US"/>
        </w:rPr>
      </w:pPr>
      <w:r w:rsidRPr="00F252A5">
        <w:rPr>
          <w:lang w:eastAsia="en-US"/>
        </w:rPr>
        <w:t>4.4 Advarsler og forsiktighetsregler</w:t>
      </w:r>
    </w:p>
    <w:p w14:paraId="495C8D67" w14:textId="0857D5A5" w:rsidR="00D76FB2" w:rsidRDefault="00D76FB2" w:rsidP="007458EA">
      <w:pPr>
        <w:pStyle w:val="BodytextAgency"/>
        <w:rPr>
          <w:lang w:eastAsia="en-US"/>
        </w:rPr>
      </w:pPr>
      <w:r w:rsidRPr="00D76FB2">
        <w:rPr>
          <w:lang w:eastAsia="en-US"/>
        </w:rPr>
        <w:t>[…]</w:t>
      </w:r>
    </w:p>
    <w:p w14:paraId="08253222" w14:textId="54603B46" w:rsidR="00D76FB2" w:rsidRDefault="00AC7F5D" w:rsidP="007458EA">
      <w:pPr>
        <w:pStyle w:val="BodytextAgency"/>
        <w:rPr>
          <w:lang w:eastAsia="en-US"/>
        </w:rPr>
      </w:pPr>
      <w:r w:rsidRPr="00AC7F5D">
        <w:rPr>
          <w:lang w:eastAsia="en-US"/>
        </w:rPr>
        <w:lastRenderedPageBreak/>
        <w:t>Laboratorieavvik</w:t>
      </w:r>
    </w:p>
    <w:p w14:paraId="4AB67699" w14:textId="0918EA59" w:rsidR="00AC7F5D" w:rsidRDefault="00AC7F5D" w:rsidP="007458EA">
      <w:pPr>
        <w:pStyle w:val="BodytextAgency"/>
        <w:rPr>
          <w:lang w:eastAsia="en-US"/>
        </w:rPr>
      </w:pPr>
      <w:r w:rsidRPr="00AC7F5D">
        <w:rPr>
          <w:u w:val="single"/>
          <w:lang w:eastAsia="en-US"/>
        </w:rPr>
        <w:t>Regelmessig</w:t>
      </w:r>
      <w:r w:rsidRPr="00AC7F5D">
        <w:rPr>
          <w:lang w:eastAsia="en-US"/>
        </w:rPr>
        <w:t xml:space="preserve"> overvåking av leverfunksjon og elektrolytter anbefales.</w:t>
      </w:r>
    </w:p>
    <w:p w14:paraId="1C79A91C" w14:textId="2DDC0E3D" w:rsidR="00AC7F5D" w:rsidRPr="0097716B" w:rsidRDefault="00AC7F5D" w:rsidP="007458EA">
      <w:pPr>
        <w:pStyle w:val="BodytextAgency"/>
        <w:rPr>
          <w:u w:val="single"/>
          <w:lang w:eastAsia="en-US"/>
        </w:rPr>
      </w:pPr>
      <w:r w:rsidRPr="0097716B">
        <w:rPr>
          <w:u w:val="single"/>
          <w:lang w:eastAsia="en-US"/>
        </w:rPr>
        <w:t>Atypisk hemolytisk-uremisk syndrom</w:t>
      </w:r>
    </w:p>
    <w:p w14:paraId="72B4D855" w14:textId="1655320C" w:rsidR="00AC7F5D" w:rsidRDefault="0097716B" w:rsidP="007458EA">
      <w:pPr>
        <w:pStyle w:val="BodytextAgency"/>
        <w:rPr>
          <w:u w:val="single"/>
          <w:lang w:eastAsia="en-US"/>
        </w:rPr>
      </w:pPr>
      <w:r w:rsidRPr="0097716B">
        <w:rPr>
          <w:u w:val="single"/>
          <w:lang w:eastAsia="en-US"/>
        </w:rPr>
        <w:t>Atypisk hemolytisk</w:t>
      </w:r>
      <w:r>
        <w:rPr>
          <w:u w:val="single"/>
          <w:lang w:eastAsia="en-US"/>
        </w:rPr>
        <w:t>-</w:t>
      </w:r>
      <w:r w:rsidRPr="0097716B">
        <w:rPr>
          <w:u w:val="single"/>
          <w:lang w:eastAsia="en-US"/>
        </w:rPr>
        <w:t>uremisk syndrom (</w:t>
      </w:r>
      <w:proofErr w:type="spellStart"/>
      <w:r w:rsidRPr="0097716B">
        <w:rPr>
          <w:u w:val="single"/>
          <w:lang w:eastAsia="en-US"/>
        </w:rPr>
        <w:t>aHUS</w:t>
      </w:r>
      <w:proofErr w:type="spellEnd"/>
      <w:r w:rsidRPr="0097716B">
        <w:rPr>
          <w:u w:val="single"/>
          <w:lang w:eastAsia="en-US"/>
        </w:rPr>
        <w:t xml:space="preserve">) er rapportert hos pasienter som har fått </w:t>
      </w:r>
      <w:proofErr w:type="spellStart"/>
      <w:r w:rsidRPr="0097716B">
        <w:rPr>
          <w:u w:val="single"/>
          <w:lang w:eastAsia="en-US"/>
        </w:rPr>
        <w:t>dinutu</w:t>
      </w:r>
      <w:r w:rsidR="007C7ABE">
        <w:rPr>
          <w:u w:val="single"/>
          <w:lang w:eastAsia="en-US"/>
        </w:rPr>
        <w:t>ks</w:t>
      </w:r>
      <w:r w:rsidRPr="0097716B">
        <w:rPr>
          <w:u w:val="single"/>
          <w:lang w:eastAsia="en-US"/>
        </w:rPr>
        <w:t>imab</w:t>
      </w:r>
      <w:proofErr w:type="spellEnd"/>
      <w:r w:rsidRPr="0097716B">
        <w:rPr>
          <w:u w:val="single"/>
          <w:lang w:eastAsia="en-US"/>
        </w:rPr>
        <w:t xml:space="preserve"> beta, i noen tilfeller med </w:t>
      </w:r>
      <w:r w:rsidR="007126D8">
        <w:rPr>
          <w:u w:val="single"/>
          <w:lang w:eastAsia="en-US"/>
        </w:rPr>
        <w:t>fatalt</w:t>
      </w:r>
      <w:r w:rsidRPr="0097716B">
        <w:rPr>
          <w:u w:val="single"/>
          <w:lang w:eastAsia="en-US"/>
        </w:rPr>
        <w:t xml:space="preserve"> ut</w:t>
      </w:r>
      <w:r w:rsidR="00894858">
        <w:rPr>
          <w:u w:val="single"/>
          <w:lang w:eastAsia="en-US"/>
        </w:rPr>
        <w:t>fall</w:t>
      </w:r>
      <w:r w:rsidRPr="0097716B">
        <w:rPr>
          <w:u w:val="single"/>
          <w:lang w:eastAsia="en-US"/>
        </w:rPr>
        <w:t xml:space="preserve">. Tegn og symptomer på </w:t>
      </w:r>
      <w:proofErr w:type="spellStart"/>
      <w:r w:rsidRPr="0097716B">
        <w:rPr>
          <w:u w:val="single"/>
          <w:lang w:eastAsia="en-US"/>
        </w:rPr>
        <w:t>aHUS</w:t>
      </w:r>
      <w:proofErr w:type="spellEnd"/>
      <w:r w:rsidRPr="0097716B">
        <w:rPr>
          <w:u w:val="single"/>
          <w:lang w:eastAsia="en-US"/>
        </w:rPr>
        <w:t xml:space="preserve"> bør overvåkes. Hvis </w:t>
      </w:r>
      <w:proofErr w:type="spellStart"/>
      <w:r w:rsidRPr="0097716B">
        <w:rPr>
          <w:u w:val="single"/>
          <w:lang w:eastAsia="en-US"/>
        </w:rPr>
        <w:t>aHUS</w:t>
      </w:r>
      <w:proofErr w:type="spellEnd"/>
      <w:r w:rsidRPr="0097716B">
        <w:rPr>
          <w:u w:val="single"/>
          <w:lang w:eastAsia="en-US"/>
        </w:rPr>
        <w:t xml:space="preserve"> diagnostiseres, er rask behandling nødvendig, og </w:t>
      </w:r>
      <w:proofErr w:type="spellStart"/>
      <w:r w:rsidRPr="0097716B">
        <w:rPr>
          <w:u w:val="single"/>
          <w:lang w:eastAsia="en-US"/>
        </w:rPr>
        <w:t>dinutu</w:t>
      </w:r>
      <w:r w:rsidR="00EA17FD">
        <w:rPr>
          <w:u w:val="single"/>
          <w:lang w:eastAsia="en-US"/>
        </w:rPr>
        <w:t>ks</w:t>
      </w:r>
      <w:r w:rsidRPr="0097716B">
        <w:rPr>
          <w:u w:val="single"/>
          <w:lang w:eastAsia="en-US"/>
        </w:rPr>
        <w:t>imab</w:t>
      </w:r>
      <w:proofErr w:type="spellEnd"/>
      <w:r w:rsidRPr="0097716B">
        <w:rPr>
          <w:u w:val="single"/>
          <w:lang w:eastAsia="en-US"/>
        </w:rPr>
        <w:t xml:space="preserve"> beta </w:t>
      </w:r>
      <w:r w:rsidR="002761CC">
        <w:rPr>
          <w:u w:val="single"/>
          <w:lang w:eastAsia="en-US"/>
        </w:rPr>
        <w:t>skal</w:t>
      </w:r>
      <w:r w:rsidRPr="0097716B">
        <w:rPr>
          <w:u w:val="single"/>
          <w:lang w:eastAsia="en-US"/>
        </w:rPr>
        <w:t xml:space="preserve"> seponeres permanent.</w:t>
      </w:r>
    </w:p>
    <w:p w14:paraId="79652329" w14:textId="77777777" w:rsidR="00C70641" w:rsidRDefault="00C70641" w:rsidP="007458EA">
      <w:pPr>
        <w:pStyle w:val="BodytextAgency"/>
        <w:rPr>
          <w:u w:val="single"/>
          <w:lang w:eastAsia="en-US"/>
        </w:rPr>
      </w:pPr>
    </w:p>
    <w:p w14:paraId="3CD1A6B2" w14:textId="70A8A326" w:rsidR="00DC6525" w:rsidRDefault="00C70641" w:rsidP="007458EA">
      <w:pPr>
        <w:pStyle w:val="BodytextAgency"/>
        <w:rPr>
          <w:lang w:eastAsia="en-US"/>
        </w:rPr>
      </w:pPr>
      <w:r w:rsidRPr="00C70641">
        <w:rPr>
          <w:lang w:eastAsia="en-US"/>
        </w:rPr>
        <w:t>4.8 Bivirkninger</w:t>
      </w:r>
    </w:p>
    <w:p w14:paraId="1161152D" w14:textId="01869F0E" w:rsidR="00DA1A66" w:rsidRDefault="00DA1A66" w:rsidP="007458EA">
      <w:pPr>
        <w:pStyle w:val="BodytextAgency"/>
        <w:rPr>
          <w:u w:val="single"/>
          <w:lang w:eastAsia="en-US"/>
        </w:rPr>
      </w:pPr>
      <w:r w:rsidRPr="00DA1A66">
        <w:rPr>
          <w:u w:val="single"/>
          <w:lang w:eastAsia="en-US"/>
        </w:rPr>
        <w:t>Liste over bivirkninger i tabellform</w:t>
      </w:r>
    </w:p>
    <w:p w14:paraId="0CEE589A" w14:textId="3EAAB42A" w:rsidR="00DA1A66" w:rsidRPr="000D576A" w:rsidRDefault="00220569" w:rsidP="007458EA">
      <w:pPr>
        <w:pStyle w:val="BodytextAgency"/>
        <w:rPr>
          <w:strike/>
          <w:lang w:eastAsia="en-US"/>
        </w:rPr>
      </w:pPr>
      <w:r w:rsidRPr="00220569">
        <w:rPr>
          <w:lang w:eastAsia="en-US"/>
        </w:rPr>
        <w:t>Bivirkninger rapportert i kliniske studier</w:t>
      </w:r>
      <w:r w:rsidR="00E279AA">
        <w:rPr>
          <w:lang w:eastAsia="en-US"/>
        </w:rPr>
        <w:t xml:space="preserve"> </w:t>
      </w:r>
      <w:r w:rsidR="00E279AA" w:rsidRPr="004C007C">
        <w:rPr>
          <w:u w:val="single"/>
          <w:lang w:eastAsia="en-US"/>
        </w:rPr>
        <w:t>og etter markedsføring</w:t>
      </w:r>
      <w:r w:rsidRPr="00220569">
        <w:rPr>
          <w:lang w:eastAsia="en-US"/>
        </w:rPr>
        <w:t xml:space="preserve"> er listet opp etter organklassesystem og frekvens, og er oppsummert i tabellen nedenfor. Disse bivirkningene er presentert etter </w:t>
      </w:r>
      <w:proofErr w:type="spellStart"/>
      <w:r w:rsidRPr="00220569">
        <w:rPr>
          <w:lang w:eastAsia="en-US"/>
        </w:rPr>
        <w:t>MedDRA</w:t>
      </w:r>
      <w:proofErr w:type="spellEnd"/>
      <w:r w:rsidRPr="00220569">
        <w:rPr>
          <w:lang w:eastAsia="en-US"/>
        </w:rPr>
        <w:t xml:space="preserve">-databasen for organklassesystem og frekvens. Frekvenskategoriene er definert </w:t>
      </w:r>
      <w:r w:rsidRPr="00220569">
        <w:rPr>
          <w:rFonts w:hint="eastAsia"/>
          <w:lang w:eastAsia="en-US"/>
        </w:rPr>
        <w:t>som: Svært vanlige (≥ 1/10), vanlige (≥ 1/100 til &lt; 1/10) og mindre vanlige (≥ 1/1000 til &lt; 1/100)</w:t>
      </w:r>
      <w:r w:rsidR="004C007C">
        <w:rPr>
          <w:lang w:eastAsia="en-US"/>
        </w:rPr>
        <w:t xml:space="preserve"> </w:t>
      </w:r>
      <w:r w:rsidR="004C007C">
        <w:rPr>
          <w:u w:val="single"/>
          <w:lang w:eastAsia="en-US"/>
        </w:rPr>
        <w:t>og ikke kjent (kan ikke anslås ut ifra tilgjengelige data)</w:t>
      </w:r>
      <w:r w:rsidRPr="00220569">
        <w:rPr>
          <w:rFonts w:hint="eastAsia"/>
          <w:lang w:eastAsia="en-US"/>
        </w:rPr>
        <w:t xml:space="preserve">. Innen hver frekvensgruppe er bivirkningene presentert med synkende alvorlighetsgrad. </w:t>
      </w:r>
      <w:r w:rsidRPr="000D576A">
        <w:rPr>
          <w:rFonts w:hint="eastAsia"/>
          <w:strike/>
          <w:lang w:eastAsia="en-US"/>
        </w:rPr>
        <w:t>Bivirkningstypene sett etter markedsføring er sammenfallende med bivirk</w:t>
      </w:r>
      <w:r w:rsidRPr="000D576A">
        <w:rPr>
          <w:strike/>
          <w:lang w:eastAsia="en-US"/>
        </w:rPr>
        <w:t>ningene sett i kliniske studier.</w:t>
      </w:r>
    </w:p>
    <w:p w14:paraId="76CCC4C8" w14:textId="2CE1B3FF" w:rsidR="003229BF" w:rsidRDefault="003229BF" w:rsidP="007458EA">
      <w:pPr>
        <w:pStyle w:val="BodytextAgency"/>
        <w:rPr>
          <w:lang w:eastAsia="en-US"/>
        </w:rPr>
      </w:pPr>
      <w:r w:rsidRPr="003229BF">
        <w:rPr>
          <w:lang w:eastAsia="en-US"/>
        </w:rPr>
        <w:t>[…]</w:t>
      </w:r>
    </w:p>
    <w:p w14:paraId="67F83DCB" w14:textId="72F93C2B" w:rsidR="003229BF" w:rsidRDefault="003229BF" w:rsidP="007458EA">
      <w:pPr>
        <w:pStyle w:val="BodytextAgency"/>
        <w:rPr>
          <w:lang w:eastAsia="en-US"/>
        </w:rPr>
      </w:pPr>
      <w:r w:rsidRPr="003229BF">
        <w:rPr>
          <w:lang w:eastAsia="en-US"/>
        </w:rPr>
        <w:t>Sykdommer i blod og lymfatiske organer</w:t>
      </w:r>
    </w:p>
    <w:p w14:paraId="3A0A599A" w14:textId="10617647" w:rsidR="00806943" w:rsidRDefault="00806943" w:rsidP="007458EA">
      <w:pPr>
        <w:pStyle w:val="BodytextAgency"/>
        <w:rPr>
          <w:lang w:eastAsia="en-US"/>
        </w:rPr>
      </w:pPr>
      <w:r w:rsidRPr="00806943">
        <w:rPr>
          <w:lang w:eastAsia="en-US"/>
        </w:rPr>
        <w:t>Frekvens: "Ikke kjent":</w:t>
      </w:r>
    </w:p>
    <w:p w14:paraId="4B886F6C" w14:textId="5BDA131D" w:rsidR="00806943" w:rsidRDefault="00806943" w:rsidP="007458EA">
      <w:pPr>
        <w:pStyle w:val="BodytextAgency"/>
        <w:rPr>
          <w:u w:val="single"/>
          <w:lang w:eastAsia="en-US"/>
        </w:rPr>
      </w:pPr>
      <w:r w:rsidRPr="00FB0BC9">
        <w:rPr>
          <w:u w:val="single"/>
          <w:lang w:eastAsia="en-US"/>
        </w:rPr>
        <w:t>Atypisk hemolytisk-uremisk syndrom</w:t>
      </w:r>
    </w:p>
    <w:p w14:paraId="3E909511" w14:textId="77777777" w:rsidR="00FB0BC9" w:rsidRDefault="00FB0BC9" w:rsidP="007458EA">
      <w:pPr>
        <w:pStyle w:val="BodytextAgency"/>
        <w:rPr>
          <w:u w:val="single"/>
          <w:lang w:eastAsia="en-US"/>
        </w:rPr>
      </w:pPr>
    </w:p>
    <w:p w14:paraId="6C390B84" w14:textId="77777777" w:rsidR="00FB0BC9" w:rsidRDefault="00FB0BC9" w:rsidP="00FB0BC9">
      <w:pPr>
        <w:spacing w:before="120" w:after="140" w:line="280" w:lineRule="atLeast"/>
        <w:rPr>
          <w:rFonts w:ascii="Verdana" w:eastAsia="Verdana" w:hAnsi="Verdana" w:cs="Verdana"/>
          <w:b/>
          <w:bCs/>
          <w:iCs/>
        </w:rPr>
      </w:pPr>
      <w:r w:rsidRPr="002D2D0C">
        <w:rPr>
          <w:rFonts w:ascii="Verdana" w:eastAsia="Verdana" w:hAnsi="Verdana" w:cs="Verdana"/>
          <w:b/>
          <w:bCs/>
          <w:iCs/>
        </w:rPr>
        <w:t>Pakningsvedlegg</w:t>
      </w:r>
    </w:p>
    <w:p w14:paraId="7D8C8475" w14:textId="08F7BEF1" w:rsidR="00FB0BC9" w:rsidRPr="00FB0BC9" w:rsidRDefault="00FB0BC9" w:rsidP="007458EA">
      <w:pPr>
        <w:pStyle w:val="BodytextAgency"/>
        <w:rPr>
          <w:lang w:eastAsia="en-US"/>
        </w:rPr>
      </w:pPr>
      <w:r w:rsidRPr="00FB0BC9">
        <w:rPr>
          <w:lang w:eastAsia="en-US"/>
        </w:rPr>
        <w:t>Advarsler og forsiktighetsregler</w:t>
      </w:r>
    </w:p>
    <w:p w14:paraId="0F1AF16A" w14:textId="2BBFFC91" w:rsidR="00FB0BC9" w:rsidRDefault="00FB0BC9" w:rsidP="007458EA">
      <w:pPr>
        <w:pStyle w:val="BodytextAgency"/>
        <w:rPr>
          <w:lang w:eastAsia="en-US"/>
        </w:rPr>
      </w:pPr>
      <w:r w:rsidRPr="0037186C">
        <w:rPr>
          <w:lang w:eastAsia="en-US"/>
        </w:rPr>
        <w:t>[…]</w:t>
      </w:r>
      <w:r w:rsidR="0037186C" w:rsidRPr="0037186C">
        <w:rPr>
          <w:lang w:eastAsia="en-US"/>
        </w:rPr>
        <w:t xml:space="preserve"> Det kan hende du merker følgende når du først mottar </w:t>
      </w:r>
      <w:proofErr w:type="spellStart"/>
      <w:r w:rsidR="0037186C" w:rsidRPr="0037186C">
        <w:rPr>
          <w:lang w:eastAsia="en-US"/>
        </w:rPr>
        <w:t>Qarziba</w:t>
      </w:r>
      <w:proofErr w:type="spellEnd"/>
      <w:r w:rsidR="0037186C" w:rsidRPr="0037186C">
        <w:rPr>
          <w:lang w:eastAsia="en-US"/>
        </w:rPr>
        <w:t xml:space="preserve"> og i løpet av behandlingen:</w:t>
      </w:r>
      <w:r w:rsidR="0037186C">
        <w:rPr>
          <w:lang w:eastAsia="en-US"/>
        </w:rPr>
        <w:t xml:space="preserve"> </w:t>
      </w:r>
      <w:r w:rsidR="0037186C" w:rsidRPr="0037186C">
        <w:rPr>
          <w:lang w:eastAsia="en-US"/>
        </w:rPr>
        <w:t>[…]</w:t>
      </w:r>
    </w:p>
    <w:p w14:paraId="01343719" w14:textId="5C35AACF" w:rsidR="0037186C" w:rsidRPr="000A49BA" w:rsidRDefault="0037186C" w:rsidP="0037186C">
      <w:pPr>
        <w:pStyle w:val="BodytextAgency"/>
        <w:numPr>
          <w:ilvl w:val="0"/>
          <w:numId w:val="12"/>
        </w:numPr>
        <w:rPr>
          <w:b/>
          <w:bCs/>
          <w:u w:val="single"/>
          <w:lang w:eastAsia="en-US"/>
        </w:rPr>
      </w:pPr>
      <w:r w:rsidRPr="0037186C">
        <w:rPr>
          <w:b/>
          <w:bCs/>
          <w:u w:val="single"/>
          <w:lang w:eastAsia="en-US"/>
        </w:rPr>
        <w:t>symptomer på nyresvikt</w:t>
      </w:r>
      <w:r>
        <w:rPr>
          <w:b/>
          <w:bCs/>
          <w:u w:val="single"/>
          <w:lang w:eastAsia="en-US"/>
        </w:rPr>
        <w:br/>
      </w:r>
      <w:r w:rsidRPr="0037186C">
        <w:rPr>
          <w:u w:val="single"/>
          <w:lang w:eastAsia="en-US"/>
        </w:rPr>
        <w:t>Snakk med lege eller sykepleier hvis du merker</w:t>
      </w:r>
      <w:r>
        <w:rPr>
          <w:b/>
          <w:bCs/>
          <w:u w:val="single"/>
          <w:lang w:eastAsia="en-US"/>
        </w:rPr>
        <w:t xml:space="preserve"> </w:t>
      </w:r>
      <w:r w:rsidRPr="0037186C">
        <w:rPr>
          <w:u w:val="single"/>
          <w:lang w:eastAsia="en-US"/>
        </w:rPr>
        <w:t>endr</w:t>
      </w:r>
      <w:r w:rsidR="001D2F9C">
        <w:rPr>
          <w:u w:val="single"/>
          <w:lang w:eastAsia="en-US"/>
        </w:rPr>
        <w:t>ing i</w:t>
      </w:r>
      <w:r w:rsidRPr="0037186C">
        <w:rPr>
          <w:u w:val="single"/>
          <w:lang w:eastAsia="en-US"/>
        </w:rPr>
        <w:t xml:space="preserve"> hyppighet eller </w:t>
      </w:r>
      <w:r>
        <w:rPr>
          <w:u w:val="single"/>
          <w:lang w:eastAsia="en-US"/>
        </w:rPr>
        <w:t>fravær av vannlating</w:t>
      </w:r>
      <w:r w:rsidR="000A49BA">
        <w:rPr>
          <w:u w:val="single"/>
          <w:lang w:eastAsia="en-US"/>
        </w:rPr>
        <w:t>.</w:t>
      </w:r>
    </w:p>
    <w:p w14:paraId="123866F4" w14:textId="77777777" w:rsidR="007E24C3" w:rsidRDefault="007E24C3" w:rsidP="000A49BA">
      <w:pPr>
        <w:pStyle w:val="BodytextAgency"/>
        <w:rPr>
          <w:lang w:eastAsia="en-US"/>
        </w:rPr>
      </w:pPr>
    </w:p>
    <w:p w14:paraId="27007917" w14:textId="48C6EB29" w:rsidR="000A49BA" w:rsidRDefault="000A49BA" w:rsidP="000A49BA">
      <w:pPr>
        <w:pStyle w:val="BodytextAgency"/>
        <w:rPr>
          <w:lang w:eastAsia="en-US"/>
        </w:rPr>
      </w:pPr>
      <w:r w:rsidRPr="000A49BA">
        <w:rPr>
          <w:lang w:eastAsia="en-US"/>
        </w:rPr>
        <w:t>4. Mulige bivirkninger</w:t>
      </w:r>
    </w:p>
    <w:p w14:paraId="79A40B95" w14:textId="6133F01B" w:rsidR="000A49BA" w:rsidRDefault="000A49BA" w:rsidP="000A49BA">
      <w:pPr>
        <w:pStyle w:val="BodytextAgency"/>
        <w:rPr>
          <w:lang w:eastAsia="en-US"/>
        </w:rPr>
      </w:pPr>
      <w:r w:rsidRPr="000A49BA">
        <w:rPr>
          <w:lang w:eastAsia="en-US"/>
        </w:rPr>
        <w:t>[…]</w:t>
      </w:r>
    </w:p>
    <w:p w14:paraId="14A8CE41" w14:textId="06727C75" w:rsidR="00DD575C" w:rsidRDefault="00DD575C" w:rsidP="000A49BA">
      <w:pPr>
        <w:pStyle w:val="BodytextAgency"/>
        <w:rPr>
          <w:u w:val="single"/>
          <w:lang w:eastAsia="en-US"/>
        </w:rPr>
      </w:pPr>
      <w:r w:rsidRPr="00DD575C">
        <w:rPr>
          <w:u w:val="single"/>
          <w:lang w:eastAsia="en-US"/>
        </w:rPr>
        <w:t>Ikke kjent (kan berøre et ukjent antall personer):</w:t>
      </w:r>
    </w:p>
    <w:p w14:paraId="08618F8E" w14:textId="33AAA9F3" w:rsidR="00DD575C" w:rsidRDefault="00DD575C" w:rsidP="00DD575C">
      <w:pPr>
        <w:pStyle w:val="BodytextAgency"/>
        <w:numPr>
          <w:ilvl w:val="0"/>
          <w:numId w:val="12"/>
        </w:numPr>
        <w:rPr>
          <w:u w:val="single"/>
          <w:lang w:eastAsia="en-US"/>
        </w:rPr>
      </w:pPr>
      <w:r w:rsidRPr="00DD575C">
        <w:rPr>
          <w:u w:val="single"/>
          <w:lang w:eastAsia="en-US"/>
        </w:rPr>
        <w:t xml:space="preserve">ekstrem tretthet og kortpustethet (som kan skyldes </w:t>
      </w:r>
      <w:r w:rsidR="002C61AA">
        <w:rPr>
          <w:u w:val="single"/>
          <w:lang w:eastAsia="en-US"/>
        </w:rPr>
        <w:t xml:space="preserve">et </w:t>
      </w:r>
      <w:r w:rsidRPr="00DD575C">
        <w:rPr>
          <w:u w:val="single"/>
          <w:lang w:eastAsia="en-US"/>
        </w:rPr>
        <w:t>lavt antall røde blod</w:t>
      </w:r>
      <w:r w:rsidR="00E0297C">
        <w:rPr>
          <w:u w:val="single"/>
          <w:lang w:eastAsia="en-US"/>
        </w:rPr>
        <w:t>celler</w:t>
      </w:r>
      <w:r w:rsidRPr="00DD575C">
        <w:rPr>
          <w:u w:val="single"/>
          <w:lang w:eastAsia="en-US"/>
        </w:rPr>
        <w:t xml:space="preserve">), blødninger og blåmerker (som kan skyldes </w:t>
      </w:r>
      <w:r w:rsidR="00F12C74">
        <w:rPr>
          <w:u w:val="single"/>
          <w:lang w:eastAsia="en-US"/>
        </w:rPr>
        <w:t xml:space="preserve">et </w:t>
      </w:r>
      <w:r w:rsidRPr="00DD575C">
        <w:rPr>
          <w:u w:val="single"/>
          <w:lang w:eastAsia="en-US"/>
        </w:rPr>
        <w:t>lavt antall blodplater) og nyresykdom der du har lite eller ingen vannlating (atypisk hemolytisk</w:t>
      </w:r>
      <w:r>
        <w:rPr>
          <w:u w:val="single"/>
          <w:lang w:eastAsia="en-US"/>
        </w:rPr>
        <w:t>-</w:t>
      </w:r>
      <w:r w:rsidRPr="00DD575C">
        <w:rPr>
          <w:u w:val="single"/>
          <w:lang w:eastAsia="en-US"/>
        </w:rPr>
        <w:t>uremisk syndrom)</w:t>
      </w:r>
    </w:p>
    <w:p w14:paraId="72DF4ED7" w14:textId="77777777" w:rsidR="000A3431" w:rsidRDefault="000A3431" w:rsidP="000A3431">
      <w:pPr>
        <w:pStyle w:val="BodytextAgency"/>
        <w:ind w:left="720"/>
        <w:rPr>
          <w:u w:val="single"/>
          <w:lang w:eastAsia="en-US"/>
        </w:rPr>
      </w:pPr>
    </w:p>
    <w:p w14:paraId="5458097D" w14:textId="77777777" w:rsidR="00C82C3E" w:rsidRDefault="00C82C3E" w:rsidP="000A3431">
      <w:pPr>
        <w:pStyle w:val="BodytextAgency"/>
        <w:ind w:left="720"/>
        <w:rPr>
          <w:u w:val="single"/>
          <w:lang w:eastAsia="en-US"/>
        </w:rPr>
      </w:pPr>
    </w:p>
    <w:p w14:paraId="50505943" w14:textId="73BAADF8" w:rsidR="00D122F2" w:rsidRDefault="000A3431" w:rsidP="000A3431">
      <w:pPr>
        <w:pStyle w:val="Heading1Agency"/>
        <w:rPr>
          <w:lang w:eastAsia="en-US"/>
        </w:rPr>
      </w:pPr>
      <w:proofErr w:type="spellStart"/>
      <w:r w:rsidRPr="000A3431">
        <w:rPr>
          <w:lang w:eastAsia="en-US"/>
        </w:rPr>
        <w:lastRenderedPageBreak/>
        <w:t>Osimertinib</w:t>
      </w:r>
      <w:proofErr w:type="spellEnd"/>
      <w:r>
        <w:rPr>
          <w:lang w:eastAsia="en-US"/>
        </w:rPr>
        <w:t xml:space="preserve"> – Hepatitt B-reaktivering (</w:t>
      </w:r>
      <w:r w:rsidRPr="000A3431">
        <w:rPr>
          <w:lang w:eastAsia="en-US"/>
        </w:rPr>
        <w:t>EPITT n</w:t>
      </w:r>
      <w:r>
        <w:rPr>
          <w:lang w:eastAsia="en-US"/>
        </w:rPr>
        <w:t>r.</w:t>
      </w:r>
      <w:r w:rsidRPr="000A3431">
        <w:rPr>
          <w:lang w:eastAsia="en-US"/>
        </w:rPr>
        <w:t xml:space="preserve"> 20172</w:t>
      </w:r>
      <w:r>
        <w:rPr>
          <w:lang w:eastAsia="en-US"/>
        </w:rPr>
        <w:t>)</w:t>
      </w:r>
    </w:p>
    <w:p w14:paraId="5ABA0E52" w14:textId="77777777" w:rsidR="004B4079" w:rsidRPr="001F46D7" w:rsidRDefault="004B4079" w:rsidP="004B4079">
      <w:pPr>
        <w:pStyle w:val="BodytextAgency"/>
        <w:rPr>
          <w:b/>
          <w:bCs/>
          <w:lang w:eastAsia="en-US"/>
        </w:rPr>
      </w:pPr>
      <w:r w:rsidRPr="001F46D7">
        <w:rPr>
          <w:b/>
          <w:bCs/>
          <w:lang w:eastAsia="en-US"/>
        </w:rPr>
        <w:t>Preparatomtale</w:t>
      </w:r>
    </w:p>
    <w:p w14:paraId="0AE35555" w14:textId="2EC439EE" w:rsidR="005D1F1D" w:rsidRDefault="004B4079" w:rsidP="004B4079">
      <w:pPr>
        <w:pStyle w:val="BodytextAgency"/>
        <w:rPr>
          <w:lang w:eastAsia="en-US"/>
        </w:rPr>
      </w:pPr>
      <w:r>
        <w:rPr>
          <w:lang w:eastAsia="en-US"/>
        </w:rPr>
        <w:t>4.4 Advarsler og forsiktighetsregler</w:t>
      </w:r>
    </w:p>
    <w:p w14:paraId="2B48FD0F" w14:textId="71279177" w:rsidR="004B4079" w:rsidRDefault="001E777C" w:rsidP="004B4079">
      <w:pPr>
        <w:pStyle w:val="BodytextAgency"/>
        <w:rPr>
          <w:u w:val="single"/>
          <w:lang w:eastAsia="en-US"/>
        </w:rPr>
      </w:pPr>
      <w:r w:rsidRPr="007C08FF">
        <w:rPr>
          <w:u w:val="single"/>
          <w:lang w:eastAsia="en-US"/>
        </w:rPr>
        <w:t>Hepatitt B-virus (HBV)-reaktivering</w:t>
      </w:r>
    </w:p>
    <w:p w14:paraId="7135F6AF" w14:textId="0848E941" w:rsidR="007C08FF" w:rsidRDefault="007C08FF" w:rsidP="004B4079">
      <w:pPr>
        <w:pStyle w:val="BodytextAgency"/>
        <w:rPr>
          <w:u w:val="single"/>
          <w:lang w:eastAsia="en-US"/>
        </w:rPr>
      </w:pPr>
      <w:r w:rsidRPr="007C08FF">
        <w:rPr>
          <w:u w:val="single"/>
          <w:lang w:eastAsia="en-US"/>
        </w:rPr>
        <w:t xml:space="preserve">Reaktivering av hepatitt B-virus kan forekomme hos pasienter behandlet med TAGRISSO, og i noen tilfeller kan det føre til fulminant hepatitt, leversvikt og død. Pasienter med positiv HBV-serologi bør overvåkes for kliniske og </w:t>
      </w:r>
      <w:proofErr w:type="spellStart"/>
      <w:r w:rsidRPr="007C08FF">
        <w:rPr>
          <w:u w:val="single"/>
          <w:lang w:eastAsia="en-US"/>
        </w:rPr>
        <w:t>laboratoriemessige</w:t>
      </w:r>
      <w:proofErr w:type="spellEnd"/>
      <w:r w:rsidRPr="007C08FF">
        <w:rPr>
          <w:u w:val="single"/>
          <w:lang w:eastAsia="en-US"/>
        </w:rPr>
        <w:t xml:space="preserve"> tegn på HBV-reaktivering mens de får TAGRISSO. Hos pasienter som utvikler reaktivering av HBV mens de bruker TAGRISSO, bør behandling med TAGRISSO avbrytes og behandles i henhold til lokale institusjonelle retningslinjer.</w:t>
      </w:r>
    </w:p>
    <w:p w14:paraId="44FA66BC" w14:textId="77777777" w:rsidR="007C08FF" w:rsidRDefault="007C08FF" w:rsidP="004B4079">
      <w:pPr>
        <w:pStyle w:val="BodytextAgency"/>
        <w:rPr>
          <w:u w:val="single"/>
          <w:lang w:eastAsia="en-US"/>
        </w:rPr>
      </w:pPr>
    </w:p>
    <w:p w14:paraId="56E9C1BC" w14:textId="66576692" w:rsidR="007C08FF" w:rsidRDefault="007E14F8" w:rsidP="004B4079">
      <w:pPr>
        <w:pStyle w:val="BodytextAgency"/>
        <w:rPr>
          <w:lang w:eastAsia="en-US"/>
        </w:rPr>
      </w:pPr>
      <w:r w:rsidRPr="007E14F8">
        <w:rPr>
          <w:lang w:eastAsia="en-US"/>
        </w:rPr>
        <w:t>4.8 Bivirkninger</w:t>
      </w:r>
    </w:p>
    <w:p w14:paraId="2E8C594A" w14:textId="296B7B4D" w:rsidR="007E14F8" w:rsidRDefault="007E14F8" w:rsidP="004B4079">
      <w:pPr>
        <w:pStyle w:val="BodytextAgency"/>
        <w:rPr>
          <w:lang w:eastAsia="en-US"/>
        </w:rPr>
      </w:pPr>
      <w:r>
        <w:rPr>
          <w:lang w:eastAsia="en-US"/>
        </w:rPr>
        <w:t>Tabell 2</w:t>
      </w:r>
    </w:p>
    <w:p w14:paraId="77BB5E9F" w14:textId="0364AA0F" w:rsidR="004B4079" w:rsidRDefault="00C21410" w:rsidP="00134319">
      <w:pPr>
        <w:pStyle w:val="BodytextAgency"/>
        <w:tabs>
          <w:tab w:val="left" w:pos="6947"/>
        </w:tabs>
        <w:rPr>
          <w:u w:val="single"/>
          <w:lang w:eastAsia="en-US"/>
        </w:rPr>
      </w:pPr>
      <w:r w:rsidRPr="00134319">
        <w:rPr>
          <w:u w:val="single"/>
          <w:lang w:eastAsia="en-US"/>
        </w:rPr>
        <w:t>Infeksiøse og parasittære sykdommer</w:t>
      </w:r>
    </w:p>
    <w:p w14:paraId="7FB2C512" w14:textId="2C72D42D" w:rsidR="00134319" w:rsidRDefault="003A6330" w:rsidP="00134319">
      <w:pPr>
        <w:pStyle w:val="BodytextAgency"/>
        <w:tabs>
          <w:tab w:val="left" w:pos="6947"/>
        </w:tabs>
        <w:rPr>
          <w:u w:val="single"/>
          <w:lang w:eastAsia="en-US"/>
        </w:rPr>
      </w:pPr>
      <w:r w:rsidRPr="003A6330">
        <w:rPr>
          <w:lang w:eastAsia="en-US"/>
        </w:rPr>
        <w:t>Frekvens:</w:t>
      </w:r>
      <w:r w:rsidR="00014FAD">
        <w:rPr>
          <w:lang w:eastAsia="en-US"/>
        </w:rPr>
        <w:t xml:space="preserve"> </w:t>
      </w:r>
      <w:r w:rsidRPr="003A6330">
        <w:rPr>
          <w:u w:val="single"/>
          <w:lang w:eastAsia="en-US"/>
        </w:rPr>
        <w:t>Ikke kjent:</w:t>
      </w:r>
    </w:p>
    <w:p w14:paraId="2516241A" w14:textId="4038F3C0" w:rsidR="003A6330" w:rsidRDefault="003A6330" w:rsidP="00134319">
      <w:pPr>
        <w:pStyle w:val="BodytextAgency"/>
        <w:tabs>
          <w:tab w:val="left" w:pos="6947"/>
        </w:tabs>
        <w:rPr>
          <w:u w:val="single"/>
          <w:lang w:eastAsia="en-US"/>
        </w:rPr>
      </w:pPr>
      <w:r>
        <w:rPr>
          <w:u w:val="single"/>
          <w:lang w:eastAsia="en-US"/>
        </w:rPr>
        <w:t>Hepatitt B-</w:t>
      </w:r>
      <w:proofErr w:type="spellStart"/>
      <w:r>
        <w:rPr>
          <w:u w:val="single"/>
          <w:lang w:eastAsia="en-US"/>
        </w:rPr>
        <w:t>reaktivering</w:t>
      </w:r>
      <w:r w:rsidRPr="003A6330">
        <w:rPr>
          <w:u w:val="single"/>
          <w:vertAlign w:val="superscript"/>
          <w:lang w:eastAsia="en-US"/>
        </w:rPr>
        <w:t>t</w:t>
      </w:r>
      <w:proofErr w:type="spellEnd"/>
    </w:p>
    <w:p w14:paraId="537C38A1" w14:textId="50DE49C8" w:rsidR="003A6330" w:rsidRDefault="00884CC6" w:rsidP="00134319">
      <w:pPr>
        <w:pStyle w:val="BodytextAgency"/>
        <w:tabs>
          <w:tab w:val="left" w:pos="6947"/>
        </w:tabs>
        <w:rPr>
          <w:lang w:eastAsia="en-US"/>
        </w:rPr>
      </w:pPr>
      <w:r w:rsidRPr="00884CC6">
        <w:rPr>
          <w:vertAlign w:val="superscript"/>
          <w:lang w:eastAsia="en-US"/>
        </w:rPr>
        <w:t>t</w:t>
      </w:r>
      <w:r w:rsidRPr="00884CC6">
        <w:rPr>
          <w:lang w:eastAsia="en-US"/>
        </w:rPr>
        <w:t xml:space="preserve"> Rapportert under bruk etter markedsføring.</w:t>
      </w:r>
    </w:p>
    <w:p w14:paraId="767C8EEB" w14:textId="77777777" w:rsidR="00734AB3" w:rsidRDefault="00734AB3" w:rsidP="00134319">
      <w:pPr>
        <w:pStyle w:val="BodytextAgency"/>
        <w:tabs>
          <w:tab w:val="left" w:pos="6947"/>
        </w:tabs>
        <w:rPr>
          <w:b/>
          <w:bCs/>
          <w:lang w:eastAsia="en-US"/>
        </w:rPr>
      </w:pPr>
    </w:p>
    <w:p w14:paraId="7CD0CA2B" w14:textId="776B9D40" w:rsidR="00884CC6" w:rsidRDefault="00734AB3" w:rsidP="00134319">
      <w:pPr>
        <w:pStyle w:val="BodytextAgency"/>
        <w:tabs>
          <w:tab w:val="left" w:pos="6947"/>
        </w:tabs>
        <w:rPr>
          <w:b/>
          <w:bCs/>
          <w:lang w:eastAsia="en-US"/>
        </w:rPr>
      </w:pPr>
      <w:r w:rsidRPr="00734AB3">
        <w:rPr>
          <w:b/>
          <w:bCs/>
          <w:lang w:eastAsia="en-US"/>
        </w:rPr>
        <w:t>Pakningsvedlegg</w:t>
      </w:r>
    </w:p>
    <w:p w14:paraId="3F451AE9" w14:textId="1B57352B" w:rsidR="00734AB3" w:rsidRDefault="00734AB3" w:rsidP="00734AB3">
      <w:pPr>
        <w:pStyle w:val="BodytextAgency"/>
        <w:tabs>
          <w:tab w:val="left" w:pos="6947"/>
        </w:tabs>
        <w:rPr>
          <w:lang w:eastAsia="en-US"/>
        </w:rPr>
      </w:pPr>
      <w:r w:rsidRPr="00734AB3">
        <w:rPr>
          <w:lang w:eastAsia="en-US"/>
        </w:rPr>
        <w:t>2. Hva du må vite før du bruker TAGRISSO</w:t>
      </w:r>
    </w:p>
    <w:p w14:paraId="0CBCB338" w14:textId="38DDEA6F" w:rsidR="009940AE" w:rsidRDefault="009940AE" w:rsidP="00734AB3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Advarsler og forsiktighetsregler</w:t>
      </w:r>
    </w:p>
    <w:p w14:paraId="3E8EDA51" w14:textId="175BC681" w:rsidR="009940AE" w:rsidRDefault="00CE688F" w:rsidP="00734AB3">
      <w:pPr>
        <w:pStyle w:val="BodytextAgency"/>
        <w:tabs>
          <w:tab w:val="left" w:pos="6947"/>
        </w:tabs>
        <w:rPr>
          <w:lang w:eastAsia="en-US"/>
        </w:rPr>
      </w:pPr>
      <w:r w:rsidRPr="00CE688F">
        <w:rPr>
          <w:lang w:eastAsia="en-US"/>
        </w:rPr>
        <w:t>Snakk med lege, apotek eller sykepleier før du bruker TAGRISSO dersom:</w:t>
      </w:r>
    </w:p>
    <w:p w14:paraId="728FD186" w14:textId="5D1F0AB4" w:rsidR="00CE688F" w:rsidRDefault="00CE688F" w:rsidP="00734AB3">
      <w:pPr>
        <w:pStyle w:val="BodytextAgency"/>
        <w:tabs>
          <w:tab w:val="left" w:pos="6947"/>
        </w:tabs>
        <w:rPr>
          <w:lang w:eastAsia="en-US"/>
        </w:rPr>
      </w:pPr>
      <w:r w:rsidRPr="00CE688F">
        <w:rPr>
          <w:lang w:eastAsia="en-US"/>
        </w:rPr>
        <w:t>[…]</w:t>
      </w:r>
    </w:p>
    <w:p w14:paraId="5291F4D0" w14:textId="5DD3CD7B" w:rsidR="00356736" w:rsidRDefault="00356736" w:rsidP="00356736">
      <w:pPr>
        <w:pStyle w:val="BodytextAgency"/>
        <w:numPr>
          <w:ilvl w:val="0"/>
          <w:numId w:val="12"/>
        </w:numPr>
        <w:tabs>
          <w:tab w:val="left" w:pos="6947"/>
        </w:tabs>
        <w:rPr>
          <w:u w:val="single"/>
          <w:lang w:eastAsia="en-US"/>
        </w:rPr>
      </w:pPr>
      <w:r w:rsidRPr="00356736">
        <w:rPr>
          <w:u w:val="single"/>
          <w:lang w:eastAsia="en-US"/>
        </w:rPr>
        <w:t xml:space="preserve">Du har hatt eller kan ha en hepatitt B-infeksjon. Dette er fordi TAGRISSO kan føre til at hepatitt B-viruset blir aktivt igjen. </w:t>
      </w:r>
      <w:r w:rsidR="00FE1FDC">
        <w:rPr>
          <w:u w:val="single"/>
          <w:lang w:eastAsia="en-US"/>
        </w:rPr>
        <w:t>Snakk med</w:t>
      </w:r>
      <w:r w:rsidRPr="00356736">
        <w:rPr>
          <w:u w:val="single"/>
          <w:lang w:eastAsia="en-US"/>
        </w:rPr>
        <w:t xml:space="preserve"> legen eller sykepleieren din hvis du får forverret tretthet eller gulfarging av huden eller det hvite i øynene.</w:t>
      </w:r>
    </w:p>
    <w:p w14:paraId="1B97B5D5" w14:textId="77777777" w:rsidR="0054698D" w:rsidRDefault="0054698D" w:rsidP="0054698D">
      <w:pPr>
        <w:pStyle w:val="BodytextAgency"/>
        <w:tabs>
          <w:tab w:val="left" w:pos="6947"/>
        </w:tabs>
        <w:rPr>
          <w:u w:val="single"/>
          <w:lang w:eastAsia="en-US"/>
        </w:rPr>
      </w:pPr>
    </w:p>
    <w:p w14:paraId="5AC583CA" w14:textId="1D93BDAB" w:rsidR="00EC7147" w:rsidRPr="00DB5E17" w:rsidRDefault="00EC7147" w:rsidP="00EC7147">
      <w:pPr>
        <w:pStyle w:val="BodytextAgency"/>
        <w:tabs>
          <w:tab w:val="left" w:pos="6947"/>
        </w:tabs>
        <w:rPr>
          <w:lang w:eastAsia="en-US"/>
        </w:rPr>
      </w:pPr>
      <w:r w:rsidRPr="00DB5E17">
        <w:rPr>
          <w:lang w:eastAsia="en-US"/>
        </w:rPr>
        <w:t>4</w:t>
      </w:r>
      <w:r w:rsidR="0054698D" w:rsidRPr="00DB5E17">
        <w:rPr>
          <w:lang w:eastAsia="en-US"/>
        </w:rPr>
        <w:t>. Mulige bivirkninger</w:t>
      </w:r>
    </w:p>
    <w:p w14:paraId="39E5F92F" w14:textId="5234285F" w:rsidR="0054698D" w:rsidRPr="00B12A98" w:rsidRDefault="00810D36" w:rsidP="00EC7147">
      <w:pPr>
        <w:pStyle w:val="BodytextAgency"/>
        <w:tabs>
          <w:tab w:val="left" w:pos="6947"/>
        </w:tabs>
        <w:rPr>
          <w:lang w:eastAsia="en-US"/>
        </w:rPr>
      </w:pPr>
      <w:r w:rsidRPr="00B12A98">
        <w:rPr>
          <w:lang w:eastAsia="en-US"/>
        </w:rPr>
        <w:t>Andre bivirkninger</w:t>
      </w:r>
    </w:p>
    <w:p w14:paraId="4652E7F7" w14:textId="3EF715A4" w:rsidR="00810D36" w:rsidRDefault="00CB6B10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>
        <w:rPr>
          <w:u w:val="single"/>
          <w:lang w:eastAsia="en-US"/>
        </w:rPr>
        <w:t>Ikke kjent (kan forekomme hos et ukjent antall personer)</w:t>
      </w:r>
    </w:p>
    <w:p w14:paraId="43861E1A" w14:textId="5DF2C7DF" w:rsidR="00CB6B10" w:rsidRDefault="00964E33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>
        <w:rPr>
          <w:u w:val="single"/>
          <w:lang w:eastAsia="en-US"/>
        </w:rPr>
        <w:t>Hepatitt B-reaktivering</w:t>
      </w:r>
    </w:p>
    <w:p w14:paraId="65BB9697" w14:textId="77777777" w:rsidR="002228AE" w:rsidRDefault="002228AE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</w:p>
    <w:p w14:paraId="0599A72D" w14:textId="5BC27E70" w:rsidR="00C87761" w:rsidRPr="00D63842" w:rsidRDefault="00C87761" w:rsidP="00C87761">
      <w:pPr>
        <w:pStyle w:val="Heading1Agency"/>
        <w:numPr>
          <w:ilvl w:val="0"/>
          <w:numId w:val="5"/>
        </w:numPr>
        <w:rPr>
          <w:lang w:val="es-ES"/>
        </w:rPr>
      </w:pPr>
      <w:proofErr w:type="spellStart"/>
      <w:r w:rsidRPr="00D63842">
        <w:rPr>
          <w:lang w:val="es-ES" w:eastAsia="en-US"/>
        </w:rPr>
        <w:t>Somatrogon</w:t>
      </w:r>
      <w:proofErr w:type="spellEnd"/>
      <w:r w:rsidRPr="00D63842">
        <w:rPr>
          <w:lang w:val="es-ES"/>
        </w:rPr>
        <w:t xml:space="preserve"> – </w:t>
      </w:r>
      <w:proofErr w:type="spellStart"/>
      <w:r w:rsidRPr="00D63842">
        <w:rPr>
          <w:lang w:val="es-ES" w:eastAsia="en-US"/>
        </w:rPr>
        <w:t>Lipoatro</w:t>
      </w:r>
      <w:r>
        <w:rPr>
          <w:lang w:val="es-ES" w:eastAsia="en-US"/>
        </w:rPr>
        <w:t>fi</w:t>
      </w:r>
      <w:proofErr w:type="spellEnd"/>
      <w:r w:rsidRPr="00D63842">
        <w:rPr>
          <w:lang w:val="es-ES"/>
        </w:rPr>
        <w:t xml:space="preserve"> (EPITT </w:t>
      </w:r>
      <w:proofErr w:type="spellStart"/>
      <w:r w:rsidRPr="00D63842">
        <w:rPr>
          <w:lang w:val="es-ES"/>
        </w:rPr>
        <w:t>n</w:t>
      </w:r>
      <w:r>
        <w:rPr>
          <w:lang w:val="es-ES"/>
        </w:rPr>
        <w:t>r</w:t>
      </w:r>
      <w:proofErr w:type="spellEnd"/>
      <w:r>
        <w:rPr>
          <w:lang w:val="es-ES"/>
        </w:rPr>
        <w:t>.</w:t>
      </w:r>
      <w:r w:rsidRPr="00D63842">
        <w:rPr>
          <w:lang w:val="es-ES"/>
        </w:rPr>
        <w:t xml:space="preserve"> 20173)</w:t>
      </w:r>
    </w:p>
    <w:p w14:paraId="53C3CB14" w14:textId="7007464F" w:rsidR="002228AE" w:rsidRDefault="001F46D7" w:rsidP="00EC7147">
      <w:pPr>
        <w:pStyle w:val="BodytextAgency"/>
        <w:tabs>
          <w:tab w:val="left" w:pos="6947"/>
        </w:tabs>
        <w:rPr>
          <w:b/>
          <w:bCs/>
          <w:lang w:eastAsia="en-US"/>
        </w:rPr>
      </w:pPr>
      <w:r w:rsidRPr="001F46D7">
        <w:rPr>
          <w:b/>
          <w:bCs/>
          <w:lang w:eastAsia="en-US"/>
        </w:rPr>
        <w:t>Preparatomtale</w:t>
      </w:r>
    </w:p>
    <w:p w14:paraId="113E876F" w14:textId="32C29E52" w:rsidR="006B1FDD" w:rsidRDefault="006B1FDD" w:rsidP="00EC7147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4.2 Dosering og administrasjonsmåte</w:t>
      </w:r>
    </w:p>
    <w:p w14:paraId="0E9F88AB" w14:textId="48511CB4" w:rsidR="00995853" w:rsidRDefault="00995853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 w:rsidRPr="00995853">
        <w:rPr>
          <w:lang w:eastAsia="en-US"/>
        </w:rPr>
        <w:lastRenderedPageBreak/>
        <w:t xml:space="preserve">Injeksjonsstedet </w:t>
      </w:r>
      <w:r w:rsidR="00F816D5">
        <w:rPr>
          <w:lang w:eastAsia="en-US"/>
        </w:rPr>
        <w:t>skal</w:t>
      </w:r>
      <w:r w:rsidRPr="00995853">
        <w:rPr>
          <w:lang w:eastAsia="en-US"/>
        </w:rPr>
        <w:t xml:space="preserve"> roteres </w:t>
      </w:r>
      <w:r w:rsidR="00F43951">
        <w:rPr>
          <w:lang w:eastAsia="en-US"/>
        </w:rPr>
        <w:t xml:space="preserve">for </w:t>
      </w:r>
      <w:r w:rsidRPr="00995853">
        <w:rPr>
          <w:lang w:eastAsia="en-US"/>
        </w:rPr>
        <w:t>hver administr</w:t>
      </w:r>
      <w:r w:rsidR="00F57503">
        <w:rPr>
          <w:lang w:eastAsia="en-US"/>
        </w:rPr>
        <w:t>asjon</w:t>
      </w:r>
      <w:r w:rsidRPr="00995853">
        <w:rPr>
          <w:lang w:eastAsia="en-US"/>
        </w:rPr>
        <w:t xml:space="preserve"> </w:t>
      </w:r>
      <w:r w:rsidRPr="00995853">
        <w:rPr>
          <w:u w:val="single"/>
          <w:lang w:eastAsia="en-US"/>
        </w:rPr>
        <w:t xml:space="preserve">for å forhindre </w:t>
      </w:r>
      <w:proofErr w:type="spellStart"/>
      <w:r w:rsidRPr="00995853">
        <w:rPr>
          <w:u w:val="single"/>
          <w:lang w:eastAsia="en-US"/>
        </w:rPr>
        <w:t>lipoatrofi</w:t>
      </w:r>
      <w:proofErr w:type="spellEnd"/>
      <w:r w:rsidRPr="00995853">
        <w:rPr>
          <w:u w:val="single"/>
          <w:lang w:eastAsia="en-US"/>
        </w:rPr>
        <w:t xml:space="preserve"> (se pkt. 4.8).</w:t>
      </w:r>
    </w:p>
    <w:p w14:paraId="4C6F1A8E" w14:textId="52CF7128" w:rsidR="00995853" w:rsidRDefault="00995853" w:rsidP="00EC7147">
      <w:pPr>
        <w:pStyle w:val="BodytextAgency"/>
        <w:tabs>
          <w:tab w:val="left" w:pos="6947"/>
        </w:tabs>
        <w:rPr>
          <w:lang w:eastAsia="en-US"/>
        </w:rPr>
      </w:pPr>
      <w:r w:rsidRPr="009566D1">
        <w:rPr>
          <w:lang w:eastAsia="en-US"/>
        </w:rPr>
        <w:t>[…]</w:t>
      </w:r>
    </w:p>
    <w:p w14:paraId="3F829DF0" w14:textId="08D832AD" w:rsidR="00A53B43" w:rsidRDefault="00266F10" w:rsidP="00266F10">
      <w:pPr>
        <w:pStyle w:val="BodytextAgency"/>
        <w:tabs>
          <w:tab w:val="left" w:pos="6947"/>
        </w:tabs>
        <w:rPr>
          <w:u w:val="single"/>
          <w:lang w:eastAsia="en-US"/>
        </w:rPr>
      </w:pPr>
      <w:r>
        <w:rPr>
          <w:lang w:eastAsia="en-US"/>
        </w:rPr>
        <w:t>Hvis det må settes mer enn 1 injeksjon for å avlevere en full dose, skal hver injeksjon settes på forskjellige injeksjonssteder</w:t>
      </w:r>
      <w:r w:rsidRPr="00C25D28">
        <w:rPr>
          <w:u w:val="single"/>
          <w:lang w:eastAsia="en-US"/>
        </w:rPr>
        <w:t xml:space="preserve"> </w:t>
      </w:r>
      <w:r w:rsidR="00A53B43" w:rsidRPr="00C25D28">
        <w:rPr>
          <w:u w:val="single"/>
          <w:lang w:eastAsia="en-US"/>
        </w:rPr>
        <w:t xml:space="preserve">for å forhindre </w:t>
      </w:r>
      <w:proofErr w:type="spellStart"/>
      <w:r w:rsidR="00A53B43" w:rsidRPr="00C25D28">
        <w:rPr>
          <w:u w:val="single"/>
          <w:lang w:eastAsia="en-US"/>
        </w:rPr>
        <w:t>lipoatrofi</w:t>
      </w:r>
      <w:proofErr w:type="spellEnd"/>
      <w:r w:rsidR="00A53B43" w:rsidRPr="00C25D28">
        <w:rPr>
          <w:u w:val="single"/>
          <w:lang w:eastAsia="en-US"/>
        </w:rPr>
        <w:t>.</w:t>
      </w:r>
    </w:p>
    <w:p w14:paraId="45739B6A" w14:textId="77777777" w:rsidR="00544CE4" w:rsidRDefault="00544CE4" w:rsidP="00266F10">
      <w:pPr>
        <w:pStyle w:val="BodytextAgency"/>
        <w:tabs>
          <w:tab w:val="left" w:pos="6947"/>
        </w:tabs>
        <w:rPr>
          <w:u w:val="single"/>
          <w:lang w:eastAsia="en-US"/>
        </w:rPr>
      </w:pPr>
    </w:p>
    <w:p w14:paraId="526AAECA" w14:textId="61D863A5" w:rsidR="00266F10" w:rsidRPr="00544CE4" w:rsidRDefault="00544CE4" w:rsidP="00266F10">
      <w:pPr>
        <w:pStyle w:val="BodytextAgency"/>
        <w:tabs>
          <w:tab w:val="left" w:pos="6947"/>
        </w:tabs>
        <w:rPr>
          <w:lang w:eastAsia="en-US"/>
        </w:rPr>
      </w:pPr>
      <w:r w:rsidRPr="00544CE4">
        <w:rPr>
          <w:lang w:eastAsia="en-US"/>
        </w:rPr>
        <w:t>4.8 Bivirkninger</w:t>
      </w:r>
    </w:p>
    <w:p w14:paraId="646C55AC" w14:textId="5C4B135D" w:rsidR="00544CE4" w:rsidRDefault="005911EE" w:rsidP="00266F10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Hud- og underhudssykdommer</w:t>
      </w:r>
    </w:p>
    <w:p w14:paraId="37AA49A4" w14:textId="6448E8EA" w:rsidR="005911EE" w:rsidRDefault="00E70E13" w:rsidP="00266F10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Frekvens "Ikke kjent":</w:t>
      </w:r>
    </w:p>
    <w:p w14:paraId="7EF569B0" w14:textId="43398EE3" w:rsidR="00E70E13" w:rsidRPr="00C659FB" w:rsidRDefault="00C659FB" w:rsidP="00266F10">
      <w:pPr>
        <w:pStyle w:val="BodytextAgency"/>
        <w:tabs>
          <w:tab w:val="left" w:pos="6947"/>
        </w:tabs>
        <w:rPr>
          <w:u w:val="single"/>
          <w:lang w:eastAsia="en-US"/>
        </w:rPr>
      </w:pPr>
      <w:proofErr w:type="spellStart"/>
      <w:r w:rsidRPr="00C659FB">
        <w:rPr>
          <w:u w:val="single"/>
          <w:lang w:eastAsia="en-US"/>
        </w:rPr>
        <w:t>Lipoatrofi</w:t>
      </w:r>
      <w:proofErr w:type="spellEnd"/>
      <w:r w:rsidRPr="00C659FB">
        <w:rPr>
          <w:u w:val="single"/>
          <w:lang w:eastAsia="en-US"/>
        </w:rPr>
        <w:t>*</w:t>
      </w:r>
    </w:p>
    <w:p w14:paraId="107C25BD" w14:textId="10759B89" w:rsidR="00C659FB" w:rsidRDefault="00C659FB" w:rsidP="00266F10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*Se pkt. 4.2</w:t>
      </w:r>
    </w:p>
    <w:p w14:paraId="08C851EA" w14:textId="77777777" w:rsidR="005911EE" w:rsidRPr="009566D1" w:rsidRDefault="005911EE" w:rsidP="00266F10">
      <w:pPr>
        <w:pStyle w:val="BodytextAgency"/>
        <w:tabs>
          <w:tab w:val="left" w:pos="6947"/>
        </w:tabs>
        <w:rPr>
          <w:lang w:eastAsia="en-US"/>
        </w:rPr>
      </w:pPr>
    </w:p>
    <w:p w14:paraId="2480F89C" w14:textId="6A6CE467" w:rsidR="003641B9" w:rsidRDefault="003641B9" w:rsidP="00EC7147">
      <w:pPr>
        <w:pStyle w:val="BodytextAgency"/>
        <w:tabs>
          <w:tab w:val="left" w:pos="6947"/>
        </w:tabs>
        <w:rPr>
          <w:b/>
          <w:bCs/>
          <w:lang w:eastAsia="en-US"/>
        </w:rPr>
      </w:pPr>
      <w:r w:rsidRPr="003641B9">
        <w:rPr>
          <w:b/>
          <w:bCs/>
          <w:lang w:eastAsia="en-US"/>
        </w:rPr>
        <w:t>Pakningsvedlegg</w:t>
      </w:r>
    </w:p>
    <w:p w14:paraId="7B4DD84C" w14:textId="211F49BD" w:rsidR="00701F91" w:rsidRDefault="00E74EC0" w:rsidP="00EC7147">
      <w:pPr>
        <w:pStyle w:val="BodytextAgency"/>
        <w:tabs>
          <w:tab w:val="left" w:pos="6947"/>
        </w:tabs>
        <w:rPr>
          <w:lang w:eastAsia="en-US"/>
        </w:rPr>
      </w:pPr>
      <w:r w:rsidRPr="00E74EC0">
        <w:rPr>
          <w:lang w:eastAsia="en-US"/>
        </w:rPr>
        <w:t xml:space="preserve">3. Hvordan du bruker </w:t>
      </w:r>
      <w:proofErr w:type="spellStart"/>
      <w:r w:rsidRPr="00E74EC0">
        <w:rPr>
          <w:lang w:eastAsia="en-US"/>
        </w:rPr>
        <w:t>Ngenla</w:t>
      </w:r>
      <w:proofErr w:type="spellEnd"/>
    </w:p>
    <w:p w14:paraId="5E827F21" w14:textId="2FC53024" w:rsidR="0088680A" w:rsidRPr="00875618" w:rsidRDefault="00A23606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 w:rsidRPr="00875618">
        <w:rPr>
          <w:u w:val="single"/>
          <w:lang w:eastAsia="en-US"/>
        </w:rPr>
        <w:t xml:space="preserve">Fettvev under huden kan krympe på injeksjonsstedet (se avsnitt 4). For å unngå dette, </w:t>
      </w:r>
      <w:r w:rsidR="00E0762A">
        <w:rPr>
          <w:u w:val="single"/>
          <w:lang w:eastAsia="en-US"/>
        </w:rPr>
        <w:t>bytt</w:t>
      </w:r>
      <w:r w:rsidRPr="00875618">
        <w:rPr>
          <w:u w:val="single"/>
          <w:lang w:eastAsia="en-US"/>
        </w:rPr>
        <w:t xml:space="preserve"> injeksjonssted hver gang.</w:t>
      </w:r>
    </w:p>
    <w:p w14:paraId="717F443D" w14:textId="77777777" w:rsidR="00A23606" w:rsidRDefault="00A23606" w:rsidP="00EC7147">
      <w:pPr>
        <w:pStyle w:val="BodytextAgency"/>
        <w:tabs>
          <w:tab w:val="left" w:pos="6947"/>
        </w:tabs>
        <w:rPr>
          <w:lang w:eastAsia="en-US"/>
        </w:rPr>
      </w:pPr>
    </w:p>
    <w:p w14:paraId="3A974481" w14:textId="38939B69" w:rsidR="00A23606" w:rsidRDefault="00A23606" w:rsidP="00EC7147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4. Mulige bivirkninger</w:t>
      </w:r>
    </w:p>
    <w:p w14:paraId="1D6EE693" w14:textId="25819B22" w:rsidR="00355C93" w:rsidRDefault="00355C93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>
        <w:rPr>
          <w:u w:val="single"/>
          <w:lang w:eastAsia="en-US"/>
        </w:rPr>
        <w:t>Ikke kjent (kan forekomme hos et ukjent antall personer):</w:t>
      </w:r>
    </w:p>
    <w:p w14:paraId="2E0D3DEF" w14:textId="2AAFC54A" w:rsidR="003C63B5" w:rsidRPr="00355C93" w:rsidRDefault="003C63B5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>
        <w:rPr>
          <w:u w:val="single"/>
          <w:lang w:eastAsia="en-US"/>
        </w:rPr>
        <w:t>Avgrenset ta</w:t>
      </w:r>
      <w:r w:rsidR="00A2204E">
        <w:rPr>
          <w:u w:val="single"/>
          <w:lang w:eastAsia="en-US"/>
        </w:rPr>
        <w:t>p</w:t>
      </w:r>
      <w:r>
        <w:rPr>
          <w:u w:val="single"/>
          <w:lang w:eastAsia="en-US"/>
        </w:rPr>
        <w:t xml:space="preserve"> av fett under huden (</w:t>
      </w:r>
      <w:proofErr w:type="spellStart"/>
      <w:r>
        <w:rPr>
          <w:u w:val="single"/>
          <w:lang w:eastAsia="en-US"/>
        </w:rPr>
        <w:t>lipoatrofi</w:t>
      </w:r>
      <w:proofErr w:type="spellEnd"/>
      <w:r>
        <w:rPr>
          <w:u w:val="single"/>
          <w:lang w:eastAsia="en-US"/>
        </w:rPr>
        <w:t>)</w:t>
      </w:r>
    </w:p>
    <w:p w14:paraId="56F68AFF" w14:textId="77777777" w:rsidR="00355C93" w:rsidRDefault="00355C93" w:rsidP="00EC7147">
      <w:pPr>
        <w:pStyle w:val="BodytextAgency"/>
        <w:tabs>
          <w:tab w:val="left" w:pos="6947"/>
        </w:tabs>
        <w:rPr>
          <w:lang w:eastAsia="en-US"/>
        </w:rPr>
      </w:pPr>
    </w:p>
    <w:p w14:paraId="347A3B8A" w14:textId="3A704BF1" w:rsidR="00B06E42" w:rsidRPr="00B06E42" w:rsidRDefault="00B06E42" w:rsidP="00EC7147">
      <w:pPr>
        <w:pStyle w:val="BodytextAgency"/>
        <w:tabs>
          <w:tab w:val="left" w:pos="6947"/>
        </w:tabs>
        <w:rPr>
          <w:b/>
          <w:bCs/>
          <w:lang w:eastAsia="en-US"/>
        </w:rPr>
      </w:pPr>
      <w:r w:rsidRPr="00B06E42">
        <w:rPr>
          <w:b/>
          <w:bCs/>
          <w:lang w:eastAsia="en-US"/>
        </w:rPr>
        <w:t>Bruksanvisning</w:t>
      </w:r>
    </w:p>
    <w:p w14:paraId="7A0714F5" w14:textId="318117DB" w:rsidR="00B6333D" w:rsidRDefault="00B6333D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  <w:r w:rsidRPr="00B6333D">
        <w:rPr>
          <w:lang w:eastAsia="en-US"/>
        </w:rPr>
        <w:t>[…]</w:t>
      </w:r>
      <w:r w:rsidR="00591E72">
        <w:rPr>
          <w:lang w:eastAsia="en-US"/>
        </w:rPr>
        <w:t xml:space="preserve"> </w:t>
      </w:r>
      <w:r w:rsidR="00591E72" w:rsidRPr="00591E72">
        <w:rPr>
          <w:u w:val="single"/>
          <w:lang w:eastAsia="en-US"/>
        </w:rPr>
        <w:t xml:space="preserve">Hver injeksjon skal gis på et </w:t>
      </w:r>
      <w:r w:rsidR="00295278">
        <w:rPr>
          <w:u w:val="single"/>
          <w:lang w:eastAsia="en-US"/>
        </w:rPr>
        <w:t>annet</w:t>
      </w:r>
      <w:r w:rsidR="00591E72" w:rsidRPr="00591E72">
        <w:rPr>
          <w:u w:val="single"/>
          <w:lang w:eastAsia="en-US"/>
        </w:rPr>
        <w:t xml:space="preserve"> injeksjonssted.</w:t>
      </w:r>
    </w:p>
    <w:p w14:paraId="30FC03AF" w14:textId="77777777" w:rsidR="00652325" w:rsidRPr="00591E72" w:rsidRDefault="00652325" w:rsidP="00EC7147">
      <w:pPr>
        <w:pStyle w:val="BodytextAgency"/>
        <w:tabs>
          <w:tab w:val="left" w:pos="6947"/>
        </w:tabs>
        <w:rPr>
          <w:u w:val="single"/>
          <w:lang w:eastAsia="en-US"/>
        </w:rPr>
      </w:pPr>
    </w:p>
    <w:p w14:paraId="5CC86433" w14:textId="64B438ED" w:rsidR="00591E72" w:rsidRDefault="00700DF4" w:rsidP="00700DF4">
      <w:pPr>
        <w:pStyle w:val="BodytextAgency"/>
        <w:tabs>
          <w:tab w:val="left" w:pos="6947"/>
        </w:tabs>
        <w:rPr>
          <w:lang w:eastAsia="en-US"/>
        </w:rPr>
      </w:pPr>
      <w:r>
        <w:rPr>
          <w:lang w:eastAsia="en-US"/>
        </w:rPr>
        <w:t>Forberedelse før injeksjonen</w:t>
      </w:r>
    </w:p>
    <w:p w14:paraId="519DCABC" w14:textId="15811ED4" w:rsidR="00B6333D" w:rsidRDefault="00700DF4" w:rsidP="00EC7147">
      <w:pPr>
        <w:pStyle w:val="BodytextAgency"/>
        <w:tabs>
          <w:tab w:val="left" w:pos="6947"/>
        </w:tabs>
        <w:rPr>
          <w:lang w:eastAsia="en-US"/>
        </w:rPr>
      </w:pPr>
      <w:r w:rsidRPr="00700DF4">
        <w:rPr>
          <w:lang w:eastAsia="en-US"/>
        </w:rPr>
        <w:t xml:space="preserve">Trinn 2 Velg og </w:t>
      </w:r>
      <w:r>
        <w:rPr>
          <w:lang w:eastAsia="en-US"/>
        </w:rPr>
        <w:t>klar</w:t>
      </w:r>
      <w:r w:rsidRPr="00700DF4">
        <w:rPr>
          <w:lang w:eastAsia="en-US"/>
        </w:rPr>
        <w:t>gjør injeksjonssted</w:t>
      </w:r>
    </w:p>
    <w:p w14:paraId="615E36B1" w14:textId="4455F28B" w:rsidR="00A23606" w:rsidRDefault="00B6333D" w:rsidP="00EC7147">
      <w:pPr>
        <w:pStyle w:val="BodytextAgency"/>
        <w:tabs>
          <w:tab w:val="left" w:pos="6947"/>
        </w:tabs>
        <w:rPr>
          <w:lang w:eastAsia="en-US"/>
        </w:rPr>
      </w:pPr>
      <w:r w:rsidRPr="00B6333D">
        <w:rPr>
          <w:lang w:eastAsia="en-US"/>
        </w:rPr>
        <w:t>[…]</w:t>
      </w:r>
    </w:p>
    <w:p w14:paraId="60AD7C23" w14:textId="431EBACF" w:rsidR="00EF154A" w:rsidRPr="00E74EC0" w:rsidRDefault="00B37673" w:rsidP="00B37673">
      <w:pPr>
        <w:pStyle w:val="BodytextAgency"/>
        <w:numPr>
          <w:ilvl w:val="0"/>
          <w:numId w:val="14"/>
        </w:numPr>
        <w:tabs>
          <w:tab w:val="left" w:pos="6947"/>
        </w:tabs>
        <w:rPr>
          <w:lang w:eastAsia="en-US"/>
        </w:rPr>
      </w:pPr>
      <w:r w:rsidRPr="00B37673">
        <w:rPr>
          <w:lang w:eastAsia="en-US"/>
        </w:rPr>
        <w:t xml:space="preserve">Velg det beste stedet å injisere, </w:t>
      </w:r>
      <w:r w:rsidR="0056706D">
        <w:rPr>
          <w:lang w:eastAsia="en-US"/>
        </w:rPr>
        <w:t>etter</w:t>
      </w:r>
      <w:r w:rsidRPr="00B37673">
        <w:rPr>
          <w:lang w:eastAsia="en-US"/>
        </w:rPr>
        <w:t xml:space="preserve"> anbefal</w:t>
      </w:r>
      <w:r w:rsidR="0056706D">
        <w:rPr>
          <w:lang w:eastAsia="en-US"/>
        </w:rPr>
        <w:t>ing</w:t>
      </w:r>
      <w:r w:rsidRPr="00B37673">
        <w:rPr>
          <w:lang w:eastAsia="en-US"/>
        </w:rPr>
        <w:t xml:space="preserve"> </w:t>
      </w:r>
      <w:r w:rsidR="0056706D">
        <w:rPr>
          <w:lang w:eastAsia="en-US"/>
        </w:rPr>
        <w:t>fra</w:t>
      </w:r>
      <w:r w:rsidRPr="00B37673">
        <w:rPr>
          <w:lang w:eastAsia="en-US"/>
        </w:rPr>
        <w:t xml:space="preserve"> lege, sykepleier eller </w:t>
      </w:r>
      <w:r w:rsidR="004B7A51">
        <w:rPr>
          <w:lang w:eastAsia="en-US"/>
        </w:rPr>
        <w:t>farmasøyt</w:t>
      </w:r>
      <w:r w:rsidRPr="00B37673">
        <w:rPr>
          <w:lang w:eastAsia="en-US"/>
        </w:rPr>
        <w:t xml:space="preserve">. </w:t>
      </w:r>
      <w:r w:rsidRPr="004A7AC4">
        <w:rPr>
          <w:u w:val="single"/>
          <w:lang w:eastAsia="en-US"/>
        </w:rPr>
        <w:t xml:space="preserve">Velg et </w:t>
      </w:r>
      <w:r w:rsidR="000B1F53">
        <w:rPr>
          <w:u w:val="single"/>
          <w:lang w:eastAsia="en-US"/>
        </w:rPr>
        <w:t>annet</w:t>
      </w:r>
      <w:r w:rsidRPr="004A7AC4">
        <w:rPr>
          <w:u w:val="single"/>
          <w:lang w:eastAsia="en-US"/>
        </w:rPr>
        <w:t xml:space="preserve"> injeksjonssted for hver injeksjon.</w:t>
      </w:r>
    </w:p>
    <w:sectPr w:rsidR="00EF154A" w:rsidRPr="00E74EC0" w:rsidSect="00C7258D"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B1D2" w14:textId="77777777" w:rsidR="001869B1" w:rsidRDefault="001869B1">
      <w:r>
        <w:separator/>
      </w:r>
    </w:p>
  </w:endnote>
  <w:endnote w:type="continuationSeparator" w:id="0">
    <w:p w14:paraId="216051C9" w14:textId="77777777" w:rsidR="001869B1" w:rsidRDefault="001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72AE0" w14:paraId="0DB1CCDA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B1CCD9" w14:textId="77777777" w:rsidR="005C04A5" w:rsidRDefault="005C04A5">
          <w:pPr>
            <w:pStyle w:val="FooterAgency"/>
          </w:pPr>
        </w:p>
      </w:tc>
    </w:tr>
    <w:tr w:rsidR="00872AE0" w:rsidRPr="00DE4C8A" w14:paraId="0DB1CCDD" w14:textId="77777777">
      <w:tc>
        <w:tcPr>
          <w:tcW w:w="3291" w:type="pct"/>
          <w:tcMar>
            <w:left w:w="0" w:type="dxa"/>
            <w:right w:w="0" w:type="dxa"/>
          </w:tcMar>
        </w:tcPr>
        <w:p w14:paraId="0DB1CCDB" w14:textId="54F3AD62" w:rsidR="005C04A5" w:rsidRPr="00DE4C8A" w:rsidRDefault="009829D4">
          <w:pPr>
            <w:pStyle w:val="FooterAgency"/>
          </w:pPr>
          <w:r>
            <w:rPr>
              <w:szCs w:val="15"/>
            </w:rPr>
            <w:fldChar w:fldCharType="begin"/>
          </w:r>
          <w:r w:rsidRPr="00DE4C8A">
            <w:rPr>
              <w:szCs w:val="15"/>
            </w:rPr>
            <w:instrText xml:space="preserve"> IF 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903DDA" w:rsidRPr="00903DDA">
            <w:rPr>
              <w:b/>
              <w:bCs/>
              <w:noProof/>
            </w:rPr>
            <w:instrText>Anbefaling fra PRAC etter signalutredning – oppdatering av produktinformasjon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&lt;&gt; "Error*"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903DDA" w:rsidRPr="00903DDA">
            <w:rPr>
              <w:b/>
              <w:bCs/>
              <w:noProof/>
            </w:rPr>
            <w:instrText>Anbefaling fra PRAC etter signalutredning – oppdatering av produktinformasjon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903DDA" w:rsidRPr="00903DDA">
            <w:rPr>
              <w:noProof/>
            </w:rPr>
            <w:t>Anbefaling fra PRAC etter signalutredning – oppdatering av produktinformasjon</w:t>
          </w:r>
          <w:r>
            <w:rPr>
              <w:szCs w:val="15"/>
            </w:rPr>
            <w:fldChar w:fldCharType="end"/>
          </w:r>
          <w:r w:rsidRPr="00DE4C8A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C" w14:textId="77777777" w:rsidR="005C04A5" w:rsidRPr="00DE4C8A" w:rsidRDefault="005C04A5">
          <w:pPr>
            <w:pStyle w:val="FooterAgency"/>
          </w:pPr>
        </w:p>
      </w:tc>
    </w:tr>
    <w:tr w:rsidR="009570BF" w14:paraId="0DB1CCE0" w14:textId="77777777">
      <w:tc>
        <w:tcPr>
          <w:tcW w:w="3291" w:type="pct"/>
          <w:tcMar>
            <w:left w:w="0" w:type="dxa"/>
            <w:right w:w="0" w:type="dxa"/>
          </w:tcMar>
        </w:tcPr>
        <w:p w14:paraId="0DB1CCDE" w14:textId="5B3C5B13" w:rsidR="009570BF" w:rsidRDefault="009570BF" w:rsidP="009570BF">
          <w:pPr>
            <w:pStyle w:val="FooterAgency"/>
          </w:pPr>
          <w:r>
            <w:rPr>
              <w:szCs w:val="15"/>
            </w:rPr>
            <w:t>EMA/PRAC/271799/2025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F" w14:textId="77777777" w:rsidR="009570BF" w:rsidRDefault="009570BF" w:rsidP="009570BF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DB1CCE1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72AE0" w14:paraId="0DB1CCE4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B1CCE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ED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DB1CCE5" w14:textId="77777777" w:rsidR="005C04A5" w:rsidRPr="00333F3F" w:rsidRDefault="009829D4">
          <w:pPr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 xml:space="preserve">Official </w:t>
          </w:r>
          <w:proofErr w:type="gramStart"/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address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Domenico</w:t>
          </w:r>
          <w:proofErr w:type="gram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Scarlattilaan </w:t>
          </w:r>
          <w:proofErr w:type="gram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6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proofErr w:type="gram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1083 HS </w:t>
          </w:r>
          <w:proofErr w:type="gram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Amsterdam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proofErr w:type="gram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872AE0" w14:paraId="0DB1CCE8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B1CCE6" w14:textId="77777777" w:rsidR="005C04A5" w:rsidRPr="00333F3F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color w:val="6D6F71"/>
                    <w:sz w:val="11"/>
                    <w:szCs w:val="11"/>
                    <w:lang w:val="en-US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0DB1CCE7" w14:textId="77777777" w:rsidR="005C04A5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DB1CCFD" wp14:editId="0DB1CCFE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72AE0" w14:paraId="0DB1CCEB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DB1CCE9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0DB1CCEA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DB1CCEC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5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72AE0" w:rsidRPr="00903DDA" w14:paraId="0DB1CCEF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0DB1CCEE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Address for visits and </w:t>
                </w:r>
                <w:proofErr w:type="gramStart"/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>deliveries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 Refer</w:t>
                </w:r>
                <w:proofErr w:type="gramEnd"/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www.ema.europa.eu/how-to-find-us </w:t>
                </w:r>
              </w:p>
            </w:tc>
          </w:tr>
          <w:tr w:rsidR="00872AE0" w14:paraId="0DB1CCF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DB1CCF0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Send us a </w:t>
                </w:r>
                <w:proofErr w:type="gramStart"/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question  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>Go</w:t>
                </w:r>
                <w:proofErr w:type="gramEnd"/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B1CCF1" w14:textId="77777777" w:rsidR="005C04A5" w:rsidRDefault="009829D4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0DB1CCF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DB1CCF4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6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:rsidRPr="00903DDA" w14:paraId="0DB1CCF9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8" w14:textId="77777777" w:rsidR="005C04A5" w:rsidRPr="00333F3F" w:rsidRDefault="009829D4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© European Medicines Agency, </w:t>
          </w:r>
          <w:r w:rsidR="00AE2DA1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202</w:t>
          </w:r>
          <w:r w:rsidR="00AB70F7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4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. Reproduction is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authorised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provided the source is acknowledged.</w:t>
          </w:r>
        </w:p>
      </w:tc>
    </w:tr>
  </w:tbl>
  <w:p w14:paraId="0DB1CCFA" w14:textId="77777777" w:rsidR="005C04A5" w:rsidRPr="00333F3F" w:rsidRDefault="005C04A5" w:rsidP="005C04A5">
    <w:pPr>
      <w:pStyle w:val="FooterAgency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4758" w14:textId="77777777" w:rsidR="001869B1" w:rsidRDefault="001869B1">
      <w:r>
        <w:separator/>
      </w:r>
    </w:p>
  </w:footnote>
  <w:footnote w:type="continuationSeparator" w:id="0">
    <w:p w14:paraId="319DAF40" w14:textId="77777777" w:rsidR="001869B1" w:rsidRDefault="0018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CE2" w14:textId="77777777" w:rsidR="005C04A5" w:rsidRDefault="009829D4" w:rsidP="00B636AF">
    <w:pPr>
      <w:pStyle w:val="HeaderAgency"/>
      <w:jc w:val="center"/>
    </w:pPr>
    <w:r>
      <w:rPr>
        <w:noProof/>
      </w:rPr>
      <w:drawing>
        <wp:inline distT="0" distB="0" distL="0" distR="0" wp14:anchorId="0DB1CCFB" wp14:editId="0DB1CCFC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87814"/>
    <w:multiLevelType w:val="hybridMultilevel"/>
    <w:tmpl w:val="E88C06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6F0"/>
    <w:multiLevelType w:val="hybridMultilevel"/>
    <w:tmpl w:val="6DEA2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 w15:restartNumberingAfterBreak="0">
    <w:nsid w:val="2A38617C"/>
    <w:multiLevelType w:val="hybridMultilevel"/>
    <w:tmpl w:val="172EA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E015B"/>
    <w:multiLevelType w:val="hybridMultilevel"/>
    <w:tmpl w:val="7320F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132D41"/>
    <w:multiLevelType w:val="hybridMultilevel"/>
    <w:tmpl w:val="C2BA0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7BE3"/>
    <w:multiLevelType w:val="hybridMultilevel"/>
    <w:tmpl w:val="87286986"/>
    <w:lvl w:ilvl="0" w:tplc="1736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4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120219491">
    <w:abstractNumId w:val="3"/>
  </w:num>
  <w:num w:numId="2" w16cid:durableId="864443425">
    <w:abstractNumId w:val="6"/>
  </w:num>
  <w:num w:numId="3" w16cid:durableId="2099981246">
    <w:abstractNumId w:val="5"/>
  </w:num>
  <w:num w:numId="4" w16cid:durableId="408886589">
    <w:abstractNumId w:val="4"/>
  </w:num>
  <w:num w:numId="5" w16cid:durableId="1725565043">
    <w:abstractNumId w:val="12"/>
  </w:num>
  <w:num w:numId="6" w16cid:durableId="786654715">
    <w:abstractNumId w:val="9"/>
  </w:num>
  <w:num w:numId="7" w16cid:durableId="636840599">
    <w:abstractNumId w:val="0"/>
  </w:num>
  <w:num w:numId="8" w16cid:durableId="1188561507">
    <w:abstractNumId w:val="12"/>
  </w:num>
  <w:num w:numId="9" w16cid:durableId="1787116205">
    <w:abstractNumId w:val="11"/>
  </w:num>
  <w:num w:numId="10" w16cid:durableId="1279489043">
    <w:abstractNumId w:val="10"/>
  </w:num>
  <w:num w:numId="11" w16cid:durableId="692615739">
    <w:abstractNumId w:val="2"/>
  </w:num>
  <w:num w:numId="12" w16cid:durableId="1308704643">
    <w:abstractNumId w:val="8"/>
  </w:num>
  <w:num w:numId="13" w16cid:durableId="86849072">
    <w:abstractNumId w:val="1"/>
  </w:num>
  <w:num w:numId="14" w16cid:durableId="1830248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6A65"/>
    <w:rsid w:val="00006BE9"/>
    <w:rsid w:val="00007362"/>
    <w:rsid w:val="000137EF"/>
    <w:rsid w:val="00014C20"/>
    <w:rsid w:val="00014FAD"/>
    <w:rsid w:val="00015A27"/>
    <w:rsid w:val="00015B6C"/>
    <w:rsid w:val="0001787D"/>
    <w:rsid w:val="0002497A"/>
    <w:rsid w:val="000258C4"/>
    <w:rsid w:val="00027FC1"/>
    <w:rsid w:val="00034C7D"/>
    <w:rsid w:val="00034D76"/>
    <w:rsid w:val="00041293"/>
    <w:rsid w:val="000417CA"/>
    <w:rsid w:val="000434BD"/>
    <w:rsid w:val="0004472F"/>
    <w:rsid w:val="00045BBC"/>
    <w:rsid w:val="000461DF"/>
    <w:rsid w:val="00054F28"/>
    <w:rsid w:val="000573A8"/>
    <w:rsid w:val="00060136"/>
    <w:rsid w:val="000630B6"/>
    <w:rsid w:val="00065BBE"/>
    <w:rsid w:val="000667B8"/>
    <w:rsid w:val="0006691F"/>
    <w:rsid w:val="00070471"/>
    <w:rsid w:val="00071E63"/>
    <w:rsid w:val="00080A10"/>
    <w:rsid w:val="00081A3E"/>
    <w:rsid w:val="00085A04"/>
    <w:rsid w:val="00086C6D"/>
    <w:rsid w:val="00087732"/>
    <w:rsid w:val="00087F19"/>
    <w:rsid w:val="000911E7"/>
    <w:rsid w:val="000925F6"/>
    <w:rsid w:val="000945F3"/>
    <w:rsid w:val="00095ED0"/>
    <w:rsid w:val="000964F5"/>
    <w:rsid w:val="000966E2"/>
    <w:rsid w:val="0009708C"/>
    <w:rsid w:val="000A3431"/>
    <w:rsid w:val="000A49BA"/>
    <w:rsid w:val="000B13FC"/>
    <w:rsid w:val="000B1CCC"/>
    <w:rsid w:val="000B1F53"/>
    <w:rsid w:val="000B48FF"/>
    <w:rsid w:val="000B7EE2"/>
    <w:rsid w:val="000C290B"/>
    <w:rsid w:val="000C3D04"/>
    <w:rsid w:val="000C5C29"/>
    <w:rsid w:val="000C61C7"/>
    <w:rsid w:val="000D2735"/>
    <w:rsid w:val="000D312B"/>
    <w:rsid w:val="000D4E31"/>
    <w:rsid w:val="000D55D8"/>
    <w:rsid w:val="000D576A"/>
    <w:rsid w:val="000D68B0"/>
    <w:rsid w:val="000D6DAF"/>
    <w:rsid w:val="000E1DCC"/>
    <w:rsid w:val="000E2DF5"/>
    <w:rsid w:val="000E440D"/>
    <w:rsid w:val="000E5AFE"/>
    <w:rsid w:val="000F29E0"/>
    <w:rsid w:val="000F30D1"/>
    <w:rsid w:val="000F4FF5"/>
    <w:rsid w:val="000F5370"/>
    <w:rsid w:val="000F7D69"/>
    <w:rsid w:val="0010021B"/>
    <w:rsid w:val="001032D3"/>
    <w:rsid w:val="0010550B"/>
    <w:rsid w:val="00107593"/>
    <w:rsid w:val="00110BAC"/>
    <w:rsid w:val="001114E5"/>
    <w:rsid w:val="00111AA3"/>
    <w:rsid w:val="00114237"/>
    <w:rsid w:val="00121F63"/>
    <w:rsid w:val="00122C28"/>
    <w:rsid w:val="00124AD3"/>
    <w:rsid w:val="001254D9"/>
    <w:rsid w:val="00127175"/>
    <w:rsid w:val="0012797F"/>
    <w:rsid w:val="00132845"/>
    <w:rsid w:val="00134319"/>
    <w:rsid w:val="00135BC0"/>
    <w:rsid w:val="00137B2D"/>
    <w:rsid w:val="00142EA6"/>
    <w:rsid w:val="00142EF8"/>
    <w:rsid w:val="00144208"/>
    <w:rsid w:val="001443BB"/>
    <w:rsid w:val="00145C4C"/>
    <w:rsid w:val="001462D1"/>
    <w:rsid w:val="001503FB"/>
    <w:rsid w:val="001522D3"/>
    <w:rsid w:val="001530EC"/>
    <w:rsid w:val="00153F22"/>
    <w:rsid w:val="00161C0F"/>
    <w:rsid w:val="00161E48"/>
    <w:rsid w:val="00162A71"/>
    <w:rsid w:val="00165EEE"/>
    <w:rsid w:val="00166E32"/>
    <w:rsid w:val="001703A8"/>
    <w:rsid w:val="001711DA"/>
    <w:rsid w:val="00171291"/>
    <w:rsid w:val="001715B2"/>
    <w:rsid w:val="00171BDB"/>
    <w:rsid w:val="00172652"/>
    <w:rsid w:val="00172E42"/>
    <w:rsid w:val="00174F37"/>
    <w:rsid w:val="00175AFE"/>
    <w:rsid w:val="0017699A"/>
    <w:rsid w:val="001856FF"/>
    <w:rsid w:val="001869B1"/>
    <w:rsid w:val="00186CB6"/>
    <w:rsid w:val="0018798D"/>
    <w:rsid w:val="00187CE7"/>
    <w:rsid w:val="00187CF2"/>
    <w:rsid w:val="00190B98"/>
    <w:rsid w:val="00195217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875"/>
    <w:rsid w:val="001D0CAF"/>
    <w:rsid w:val="001D1343"/>
    <w:rsid w:val="001D19C3"/>
    <w:rsid w:val="001D2F9C"/>
    <w:rsid w:val="001D5CA1"/>
    <w:rsid w:val="001D742D"/>
    <w:rsid w:val="001D7465"/>
    <w:rsid w:val="001E313F"/>
    <w:rsid w:val="001E4ED4"/>
    <w:rsid w:val="001E736A"/>
    <w:rsid w:val="001E777C"/>
    <w:rsid w:val="001F01BC"/>
    <w:rsid w:val="001F040A"/>
    <w:rsid w:val="001F1500"/>
    <w:rsid w:val="001F28C1"/>
    <w:rsid w:val="001F46D7"/>
    <w:rsid w:val="001F678E"/>
    <w:rsid w:val="001F6C21"/>
    <w:rsid w:val="00202B2C"/>
    <w:rsid w:val="00205CC0"/>
    <w:rsid w:val="00206017"/>
    <w:rsid w:val="00207C64"/>
    <w:rsid w:val="00210758"/>
    <w:rsid w:val="00213879"/>
    <w:rsid w:val="0021571D"/>
    <w:rsid w:val="00220569"/>
    <w:rsid w:val="00221A64"/>
    <w:rsid w:val="00221B07"/>
    <w:rsid w:val="002228AE"/>
    <w:rsid w:val="0022453D"/>
    <w:rsid w:val="00226FC5"/>
    <w:rsid w:val="0023409C"/>
    <w:rsid w:val="002345E3"/>
    <w:rsid w:val="00235160"/>
    <w:rsid w:val="00236066"/>
    <w:rsid w:val="00236984"/>
    <w:rsid w:val="0024073A"/>
    <w:rsid w:val="002425B9"/>
    <w:rsid w:val="00243C8D"/>
    <w:rsid w:val="00244AB7"/>
    <w:rsid w:val="00244AC6"/>
    <w:rsid w:val="00245798"/>
    <w:rsid w:val="00250857"/>
    <w:rsid w:val="0025385F"/>
    <w:rsid w:val="00254317"/>
    <w:rsid w:val="0025490F"/>
    <w:rsid w:val="00255252"/>
    <w:rsid w:val="00255EE4"/>
    <w:rsid w:val="00257897"/>
    <w:rsid w:val="00261EA0"/>
    <w:rsid w:val="002642A0"/>
    <w:rsid w:val="00266F10"/>
    <w:rsid w:val="00267C9F"/>
    <w:rsid w:val="002708E8"/>
    <w:rsid w:val="00271C09"/>
    <w:rsid w:val="00273A65"/>
    <w:rsid w:val="002761CC"/>
    <w:rsid w:val="0028187A"/>
    <w:rsid w:val="00281921"/>
    <w:rsid w:val="00281D27"/>
    <w:rsid w:val="00281DE1"/>
    <w:rsid w:val="00281E98"/>
    <w:rsid w:val="002847BA"/>
    <w:rsid w:val="002903BF"/>
    <w:rsid w:val="00290477"/>
    <w:rsid w:val="0029114A"/>
    <w:rsid w:val="00293851"/>
    <w:rsid w:val="00295278"/>
    <w:rsid w:val="00297CAD"/>
    <w:rsid w:val="002A08F0"/>
    <w:rsid w:val="002A35ED"/>
    <w:rsid w:val="002A5270"/>
    <w:rsid w:val="002A7794"/>
    <w:rsid w:val="002B06B0"/>
    <w:rsid w:val="002B0CF6"/>
    <w:rsid w:val="002B15CD"/>
    <w:rsid w:val="002B2A72"/>
    <w:rsid w:val="002B2EC3"/>
    <w:rsid w:val="002B3053"/>
    <w:rsid w:val="002B44B3"/>
    <w:rsid w:val="002B5853"/>
    <w:rsid w:val="002B7B4B"/>
    <w:rsid w:val="002C0FEB"/>
    <w:rsid w:val="002C164D"/>
    <w:rsid w:val="002C3786"/>
    <w:rsid w:val="002C42D0"/>
    <w:rsid w:val="002C5B12"/>
    <w:rsid w:val="002C61AA"/>
    <w:rsid w:val="002D0D33"/>
    <w:rsid w:val="002D2D0C"/>
    <w:rsid w:val="002D5A4B"/>
    <w:rsid w:val="002D6CCD"/>
    <w:rsid w:val="002D7502"/>
    <w:rsid w:val="002E0467"/>
    <w:rsid w:val="002E1573"/>
    <w:rsid w:val="002E6645"/>
    <w:rsid w:val="002E6AD5"/>
    <w:rsid w:val="002E7ADC"/>
    <w:rsid w:val="002F417D"/>
    <w:rsid w:val="002F4879"/>
    <w:rsid w:val="002F5311"/>
    <w:rsid w:val="002F605E"/>
    <w:rsid w:val="002F6394"/>
    <w:rsid w:val="002F688A"/>
    <w:rsid w:val="00303C07"/>
    <w:rsid w:val="003075BD"/>
    <w:rsid w:val="00315B7D"/>
    <w:rsid w:val="00317857"/>
    <w:rsid w:val="0032022C"/>
    <w:rsid w:val="003216B6"/>
    <w:rsid w:val="00321DB2"/>
    <w:rsid w:val="003229BF"/>
    <w:rsid w:val="00325DC0"/>
    <w:rsid w:val="00326266"/>
    <w:rsid w:val="0033146E"/>
    <w:rsid w:val="00331B16"/>
    <w:rsid w:val="003324DD"/>
    <w:rsid w:val="00333F3F"/>
    <w:rsid w:val="00340F7E"/>
    <w:rsid w:val="00343070"/>
    <w:rsid w:val="003438DC"/>
    <w:rsid w:val="0034400B"/>
    <w:rsid w:val="00344895"/>
    <w:rsid w:val="00345C0E"/>
    <w:rsid w:val="00345D6E"/>
    <w:rsid w:val="00352EBE"/>
    <w:rsid w:val="00355C93"/>
    <w:rsid w:val="00356736"/>
    <w:rsid w:val="00356BC6"/>
    <w:rsid w:val="00361069"/>
    <w:rsid w:val="00363356"/>
    <w:rsid w:val="003641B9"/>
    <w:rsid w:val="00364F80"/>
    <w:rsid w:val="00371200"/>
    <w:rsid w:val="0037186C"/>
    <w:rsid w:val="00371986"/>
    <w:rsid w:val="003728B2"/>
    <w:rsid w:val="00372D43"/>
    <w:rsid w:val="003735A5"/>
    <w:rsid w:val="003752FD"/>
    <w:rsid w:val="0037572B"/>
    <w:rsid w:val="003830A3"/>
    <w:rsid w:val="00385855"/>
    <w:rsid w:val="00391DDC"/>
    <w:rsid w:val="00392269"/>
    <w:rsid w:val="0039287D"/>
    <w:rsid w:val="00395133"/>
    <w:rsid w:val="003960DB"/>
    <w:rsid w:val="00396463"/>
    <w:rsid w:val="003A4761"/>
    <w:rsid w:val="003A6330"/>
    <w:rsid w:val="003A6DF1"/>
    <w:rsid w:val="003A70B2"/>
    <w:rsid w:val="003A7E95"/>
    <w:rsid w:val="003B185A"/>
    <w:rsid w:val="003B2642"/>
    <w:rsid w:val="003B5F0C"/>
    <w:rsid w:val="003C1473"/>
    <w:rsid w:val="003C343C"/>
    <w:rsid w:val="003C63B5"/>
    <w:rsid w:val="003D1CC6"/>
    <w:rsid w:val="003D2280"/>
    <w:rsid w:val="003D24BE"/>
    <w:rsid w:val="003D3DAE"/>
    <w:rsid w:val="003D5D68"/>
    <w:rsid w:val="003D71FB"/>
    <w:rsid w:val="003E1AEE"/>
    <w:rsid w:val="003F18A7"/>
    <w:rsid w:val="003F6752"/>
    <w:rsid w:val="004104DA"/>
    <w:rsid w:val="00411700"/>
    <w:rsid w:val="00412345"/>
    <w:rsid w:val="00413E85"/>
    <w:rsid w:val="004200E5"/>
    <w:rsid w:val="00420842"/>
    <w:rsid w:val="00421CF0"/>
    <w:rsid w:val="004228EF"/>
    <w:rsid w:val="004253C8"/>
    <w:rsid w:val="004261EA"/>
    <w:rsid w:val="004269CE"/>
    <w:rsid w:val="004303A9"/>
    <w:rsid w:val="00431FD2"/>
    <w:rsid w:val="00433DD4"/>
    <w:rsid w:val="0043722B"/>
    <w:rsid w:val="00440CB0"/>
    <w:rsid w:val="004421C1"/>
    <w:rsid w:val="00443B25"/>
    <w:rsid w:val="004442BC"/>
    <w:rsid w:val="00444609"/>
    <w:rsid w:val="004453D7"/>
    <w:rsid w:val="00446C89"/>
    <w:rsid w:val="00451B8D"/>
    <w:rsid w:val="00451FE3"/>
    <w:rsid w:val="0045265B"/>
    <w:rsid w:val="00462697"/>
    <w:rsid w:val="00462FA5"/>
    <w:rsid w:val="00463B43"/>
    <w:rsid w:val="00464E7D"/>
    <w:rsid w:val="004724AA"/>
    <w:rsid w:val="004733DA"/>
    <w:rsid w:val="00480DE3"/>
    <w:rsid w:val="004817B1"/>
    <w:rsid w:val="004827FB"/>
    <w:rsid w:val="0048381D"/>
    <w:rsid w:val="0048434A"/>
    <w:rsid w:val="00484479"/>
    <w:rsid w:val="00486D17"/>
    <w:rsid w:val="00487D93"/>
    <w:rsid w:val="004901DA"/>
    <w:rsid w:val="00490621"/>
    <w:rsid w:val="0049243F"/>
    <w:rsid w:val="0049662E"/>
    <w:rsid w:val="00497DAC"/>
    <w:rsid w:val="004A018D"/>
    <w:rsid w:val="004A1674"/>
    <w:rsid w:val="004A7AC4"/>
    <w:rsid w:val="004B1547"/>
    <w:rsid w:val="004B4079"/>
    <w:rsid w:val="004B7A51"/>
    <w:rsid w:val="004C007C"/>
    <w:rsid w:val="004C195A"/>
    <w:rsid w:val="004C1D5E"/>
    <w:rsid w:val="004C21F9"/>
    <w:rsid w:val="004C2F2D"/>
    <w:rsid w:val="004C3C9F"/>
    <w:rsid w:val="004C495D"/>
    <w:rsid w:val="004D0272"/>
    <w:rsid w:val="004D4CB8"/>
    <w:rsid w:val="004E1076"/>
    <w:rsid w:val="004E3091"/>
    <w:rsid w:val="004F435A"/>
    <w:rsid w:val="004F5A00"/>
    <w:rsid w:val="00500FE1"/>
    <w:rsid w:val="005015A0"/>
    <w:rsid w:val="0050434A"/>
    <w:rsid w:val="005124A0"/>
    <w:rsid w:val="0051281A"/>
    <w:rsid w:val="00512F9C"/>
    <w:rsid w:val="00514025"/>
    <w:rsid w:val="00514A44"/>
    <w:rsid w:val="00517C89"/>
    <w:rsid w:val="005235F7"/>
    <w:rsid w:val="005258EA"/>
    <w:rsid w:val="00527E47"/>
    <w:rsid w:val="00544AF5"/>
    <w:rsid w:val="00544CE4"/>
    <w:rsid w:val="00546108"/>
    <w:rsid w:val="0054698D"/>
    <w:rsid w:val="00547B66"/>
    <w:rsid w:val="00552738"/>
    <w:rsid w:val="005545C4"/>
    <w:rsid w:val="00554A07"/>
    <w:rsid w:val="0055637C"/>
    <w:rsid w:val="00560AC3"/>
    <w:rsid w:val="00564B47"/>
    <w:rsid w:val="0056706D"/>
    <w:rsid w:val="00570E67"/>
    <w:rsid w:val="00571B6E"/>
    <w:rsid w:val="00574E06"/>
    <w:rsid w:val="00576BDD"/>
    <w:rsid w:val="00581219"/>
    <w:rsid w:val="005837A4"/>
    <w:rsid w:val="0058521E"/>
    <w:rsid w:val="00585874"/>
    <w:rsid w:val="00590E54"/>
    <w:rsid w:val="005911EE"/>
    <w:rsid w:val="00591E72"/>
    <w:rsid w:val="005936D5"/>
    <w:rsid w:val="00595093"/>
    <w:rsid w:val="0059521F"/>
    <w:rsid w:val="0059549F"/>
    <w:rsid w:val="005A152C"/>
    <w:rsid w:val="005A16DF"/>
    <w:rsid w:val="005A3A10"/>
    <w:rsid w:val="005A55A9"/>
    <w:rsid w:val="005A60C9"/>
    <w:rsid w:val="005A79E2"/>
    <w:rsid w:val="005B327E"/>
    <w:rsid w:val="005B34A9"/>
    <w:rsid w:val="005B6350"/>
    <w:rsid w:val="005B6B08"/>
    <w:rsid w:val="005B6C5B"/>
    <w:rsid w:val="005B709A"/>
    <w:rsid w:val="005C04A5"/>
    <w:rsid w:val="005C5198"/>
    <w:rsid w:val="005C7841"/>
    <w:rsid w:val="005D0CE2"/>
    <w:rsid w:val="005D1F1D"/>
    <w:rsid w:val="005D3FBB"/>
    <w:rsid w:val="005D5B84"/>
    <w:rsid w:val="005E2AEA"/>
    <w:rsid w:val="005E30A1"/>
    <w:rsid w:val="005E3908"/>
    <w:rsid w:val="005E6E6F"/>
    <w:rsid w:val="005E76C4"/>
    <w:rsid w:val="005F008B"/>
    <w:rsid w:val="005F06FE"/>
    <w:rsid w:val="005F42C0"/>
    <w:rsid w:val="005F7CBF"/>
    <w:rsid w:val="0060354F"/>
    <w:rsid w:val="00603D11"/>
    <w:rsid w:val="00604724"/>
    <w:rsid w:val="00604BFC"/>
    <w:rsid w:val="00606126"/>
    <w:rsid w:val="00606B64"/>
    <w:rsid w:val="00607BDB"/>
    <w:rsid w:val="00607F50"/>
    <w:rsid w:val="0061072E"/>
    <w:rsid w:val="00615117"/>
    <w:rsid w:val="0061613A"/>
    <w:rsid w:val="0061640F"/>
    <w:rsid w:val="006207EE"/>
    <w:rsid w:val="0062102A"/>
    <w:rsid w:val="00621474"/>
    <w:rsid w:val="00621D57"/>
    <w:rsid w:val="00624140"/>
    <w:rsid w:val="0063091E"/>
    <w:rsid w:val="0063154D"/>
    <w:rsid w:val="0063181B"/>
    <w:rsid w:val="0063205A"/>
    <w:rsid w:val="00636806"/>
    <w:rsid w:val="00641E2D"/>
    <w:rsid w:val="00642875"/>
    <w:rsid w:val="00651C62"/>
    <w:rsid w:val="00652325"/>
    <w:rsid w:val="006525A3"/>
    <w:rsid w:val="006540DA"/>
    <w:rsid w:val="00656DDD"/>
    <w:rsid w:val="0066063C"/>
    <w:rsid w:val="0066134D"/>
    <w:rsid w:val="00661BC0"/>
    <w:rsid w:val="0066479C"/>
    <w:rsid w:val="006653C8"/>
    <w:rsid w:val="00667FAA"/>
    <w:rsid w:val="00672598"/>
    <w:rsid w:val="00673028"/>
    <w:rsid w:val="006739ED"/>
    <w:rsid w:val="0068289B"/>
    <w:rsid w:val="006943B7"/>
    <w:rsid w:val="00694FE3"/>
    <w:rsid w:val="006A0105"/>
    <w:rsid w:val="006A0CF2"/>
    <w:rsid w:val="006A3F3E"/>
    <w:rsid w:val="006B1DF7"/>
    <w:rsid w:val="006B1FDD"/>
    <w:rsid w:val="006B2CC7"/>
    <w:rsid w:val="006B3916"/>
    <w:rsid w:val="006B5330"/>
    <w:rsid w:val="006B6804"/>
    <w:rsid w:val="006C1018"/>
    <w:rsid w:val="006C1182"/>
    <w:rsid w:val="006C3517"/>
    <w:rsid w:val="006C3DA6"/>
    <w:rsid w:val="006C4A18"/>
    <w:rsid w:val="006C529E"/>
    <w:rsid w:val="006C7F5A"/>
    <w:rsid w:val="006D0B7F"/>
    <w:rsid w:val="006D103F"/>
    <w:rsid w:val="006D10AC"/>
    <w:rsid w:val="006D1559"/>
    <w:rsid w:val="006D4495"/>
    <w:rsid w:val="006D46DD"/>
    <w:rsid w:val="006D6454"/>
    <w:rsid w:val="006D6DAD"/>
    <w:rsid w:val="006E056D"/>
    <w:rsid w:val="006E07D6"/>
    <w:rsid w:val="006E1ED7"/>
    <w:rsid w:val="006E23F0"/>
    <w:rsid w:val="006E5786"/>
    <w:rsid w:val="006F0D0D"/>
    <w:rsid w:val="006F0F66"/>
    <w:rsid w:val="006F1EDB"/>
    <w:rsid w:val="006F6040"/>
    <w:rsid w:val="006F61D2"/>
    <w:rsid w:val="00700DF4"/>
    <w:rsid w:val="00701A61"/>
    <w:rsid w:val="00701BD3"/>
    <w:rsid w:val="00701F91"/>
    <w:rsid w:val="00702FF8"/>
    <w:rsid w:val="007032EC"/>
    <w:rsid w:val="00703618"/>
    <w:rsid w:val="00703CB4"/>
    <w:rsid w:val="00704608"/>
    <w:rsid w:val="00704B4A"/>
    <w:rsid w:val="00707193"/>
    <w:rsid w:val="0071017A"/>
    <w:rsid w:val="007108B2"/>
    <w:rsid w:val="007126D8"/>
    <w:rsid w:val="007130FA"/>
    <w:rsid w:val="007208CE"/>
    <w:rsid w:val="00727FB2"/>
    <w:rsid w:val="0073182D"/>
    <w:rsid w:val="00731E9E"/>
    <w:rsid w:val="00733088"/>
    <w:rsid w:val="00733487"/>
    <w:rsid w:val="007338C8"/>
    <w:rsid w:val="00733DA2"/>
    <w:rsid w:val="00734AB3"/>
    <w:rsid w:val="00735A52"/>
    <w:rsid w:val="007371E8"/>
    <w:rsid w:val="0073721F"/>
    <w:rsid w:val="00742EB5"/>
    <w:rsid w:val="00743D73"/>
    <w:rsid w:val="00745734"/>
    <w:rsid w:val="007458EA"/>
    <w:rsid w:val="00747B5D"/>
    <w:rsid w:val="00751DAD"/>
    <w:rsid w:val="007606CD"/>
    <w:rsid w:val="00761714"/>
    <w:rsid w:val="00762FCF"/>
    <w:rsid w:val="007720BD"/>
    <w:rsid w:val="0077241A"/>
    <w:rsid w:val="007744A7"/>
    <w:rsid w:val="00774617"/>
    <w:rsid w:val="00780165"/>
    <w:rsid w:val="0078208F"/>
    <w:rsid w:val="00784282"/>
    <w:rsid w:val="00787D6D"/>
    <w:rsid w:val="0079079A"/>
    <w:rsid w:val="007908E7"/>
    <w:rsid w:val="00791277"/>
    <w:rsid w:val="00791E24"/>
    <w:rsid w:val="00792224"/>
    <w:rsid w:val="00796BF6"/>
    <w:rsid w:val="007A2294"/>
    <w:rsid w:val="007A2DA4"/>
    <w:rsid w:val="007A37F8"/>
    <w:rsid w:val="007A6062"/>
    <w:rsid w:val="007A67E8"/>
    <w:rsid w:val="007A6B96"/>
    <w:rsid w:val="007A71FE"/>
    <w:rsid w:val="007A7443"/>
    <w:rsid w:val="007B3483"/>
    <w:rsid w:val="007B36F9"/>
    <w:rsid w:val="007B432E"/>
    <w:rsid w:val="007B6532"/>
    <w:rsid w:val="007B7912"/>
    <w:rsid w:val="007B7C53"/>
    <w:rsid w:val="007C08FF"/>
    <w:rsid w:val="007C0FBD"/>
    <w:rsid w:val="007C1561"/>
    <w:rsid w:val="007C20D8"/>
    <w:rsid w:val="007C2A34"/>
    <w:rsid w:val="007C51F3"/>
    <w:rsid w:val="007C5A00"/>
    <w:rsid w:val="007C7886"/>
    <w:rsid w:val="007C7A16"/>
    <w:rsid w:val="007C7ABE"/>
    <w:rsid w:val="007D0369"/>
    <w:rsid w:val="007D2319"/>
    <w:rsid w:val="007D2D11"/>
    <w:rsid w:val="007D640D"/>
    <w:rsid w:val="007D7587"/>
    <w:rsid w:val="007E038C"/>
    <w:rsid w:val="007E07FB"/>
    <w:rsid w:val="007E14F8"/>
    <w:rsid w:val="007E231B"/>
    <w:rsid w:val="007E24C3"/>
    <w:rsid w:val="007E5D9B"/>
    <w:rsid w:val="007E6084"/>
    <w:rsid w:val="007E6FCE"/>
    <w:rsid w:val="007F0C5E"/>
    <w:rsid w:val="007F2607"/>
    <w:rsid w:val="007F337D"/>
    <w:rsid w:val="007F477B"/>
    <w:rsid w:val="007F4CA9"/>
    <w:rsid w:val="007F7B54"/>
    <w:rsid w:val="007F7BBE"/>
    <w:rsid w:val="00801232"/>
    <w:rsid w:val="00803CCE"/>
    <w:rsid w:val="00803E5E"/>
    <w:rsid w:val="00804AE4"/>
    <w:rsid w:val="008064B3"/>
    <w:rsid w:val="00806943"/>
    <w:rsid w:val="0081065D"/>
    <w:rsid w:val="00810D36"/>
    <w:rsid w:val="008118AF"/>
    <w:rsid w:val="00811EA0"/>
    <w:rsid w:val="00813BFA"/>
    <w:rsid w:val="008173D7"/>
    <w:rsid w:val="00817D28"/>
    <w:rsid w:val="00820E72"/>
    <w:rsid w:val="00823607"/>
    <w:rsid w:val="00825C24"/>
    <w:rsid w:val="00830070"/>
    <w:rsid w:val="00832E80"/>
    <w:rsid w:val="00835590"/>
    <w:rsid w:val="00835C03"/>
    <w:rsid w:val="00836039"/>
    <w:rsid w:val="00847988"/>
    <w:rsid w:val="008533DD"/>
    <w:rsid w:val="00856E19"/>
    <w:rsid w:val="00856E38"/>
    <w:rsid w:val="00856FBA"/>
    <w:rsid w:val="00857982"/>
    <w:rsid w:val="00857DD4"/>
    <w:rsid w:val="00861B57"/>
    <w:rsid w:val="00862E8D"/>
    <w:rsid w:val="0087139E"/>
    <w:rsid w:val="008729EC"/>
    <w:rsid w:val="00872AE0"/>
    <w:rsid w:val="00874F62"/>
    <w:rsid w:val="00875618"/>
    <w:rsid w:val="00877A3E"/>
    <w:rsid w:val="00884CC6"/>
    <w:rsid w:val="00885579"/>
    <w:rsid w:val="00885F0B"/>
    <w:rsid w:val="0088680A"/>
    <w:rsid w:val="00886965"/>
    <w:rsid w:val="0089387C"/>
    <w:rsid w:val="00894858"/>
    <w:rsid w:val="008A3F95"/>
    <w:rsid w:val="008B17E1"/>
    <w:rsid w:val="008B3F19"/>
    <w:rsid w:val="008B4892"/>
    <w:rsid w:val="008B6073"/>
    <w:rsid w:val="008C259D"/>
    <w:rsid w:val="008C6C71"/>
    <w:rsid w:val="008D0BED"/>
    <w:rsid w:val="008D112F"/>
    <w:rsid w:val="008D50D1"/>
    <w:rsid w:val="008D5A8C"/>
    <w:rsid w:val="008D6560"/>
    <w:rsid w:val="008E254D"/>
    <w:rsid w:val="008E2911"/>
    <w:rsid w:val="008E358A"/>
    <w:rsid w:val="008E4715"/>
    <w:rsid w:val="008E4A53"/>
    <w:rsid w:val="008E5DED"/>
    <w:rsid w:val="008E72E5"/>
    <w:rsid w:val="008E746F"/>
    <w:rsid w:val="008F4703"/>
    <w:rsid w:val="008F7B03"/>
    <w:rsid w:val="00901975"/>
    <w:rsid w:val="00903DDA"/>
    <w:rsid w:val="00906892"/>
    <w:rsid w:val="00906D94"/>
    <w:rsid w:val="00906E37"/>
    <w:rsid w:val="00906EB3"/>
    <w:rsid w:val="009114A6"/>
    <w:rsid w:val="00915210"/>
    <w:rsid w:val="009174AF"/>
    <w:rsid w:val="0091756F"/>
    <w:rsid w:val="00920A92"/>
    <w:rsid w:val="00921AD6"/>
    <w:rsid w:val="00923BCD"/>
    <w:rsid w:val="00924818"/>
    <w:rsid w:val="00925A46"/>
    <w:rsid w:val="0093163B"/>
    <w:rsid w:val="0093376B"/>
    <w:rsid w:val="00934502"/>
    <w:rsid w:val="009349AA"/>
    <w:rsid w:val="00936869"/>
    <w:rsid w:val="00936C4F"/>
    <w:rsid w:val="0094767E"/>
    <w:rsid w:val="00955055"/>
    <w:rsid w:val="009566D1"/>
    <w:rsid w:val="009570BF"/>
    <w:rsid w:val="00957AE8"/>
    <w:rsid w:val="00957FAF"/>
    <w:rsid w:val="00960808"/>
    <w:rsid w:val="00961133"/>
    <w:rsid w:val="009638A4"/>
    <w:rsid w:val="00964C04"/>
    <w:rsid w:val="00964E33"/>
    <w:rsid w:val="009663A3"/>
    <w:rsid w:val="00966FCF"/>
    <w:rsid w:val="0097006E"/>
    <w:rsid w:val="0097491A"/>
    <w:rsid w:val="009758B4"/>
    <w:rsid w:val="00975E52"/>
    <w:rsid w:val="0097716B"/>
    <w:rsid w:val="00977804"/>
    <w:rsid w:val="0098049A"/>
    <w:rsid w:val="00981329"/>
    <w:rsid w:val="009829D4"/>
    <w:rsid w:val="00982ABA"/>
    <w:rsid w:val="00986272"/>
    <w:rsid w:val="00987AB0"/>
    <w:rsid w:val="0099000A"/>
    <w:rsid w:val="009900C6"/>
    <w:rsid w:val="00991DF2"/>
    <w:rsid w:val="009926D7"/>
    <w:rsid w:val="00993633"/>
    <w:rsid w:val="009940AE"/>
    <w:rsid w:val="00994924"/>
    <w:rsid w:val="00994CF8"/>
    <w:rsid w:val="00995853"/>
    <w:rsid w:val="00997D4B"/>
    <w:rsid w:val="009A08C2"/>
    <w:rsid w:val="009A4227"/>
    <w:rsid w:val="009A4BA4"/>
    <w:rsid w:val="009A6F13"/>
    <w:rsid w:val="009B1A8A"/>
    <w:rsid w:val="009B322E"/>
    <w:rsid w:val="009B38DF"/>
    <w:rsid w:val="009C2214"/>
    <w:rsid w:val="009C3E86"/>
    <w:rsid w:val="009C4748"/>
    <w:rsid w:val="009C6201"/>
    <w:rsid w:val="009C6E7A"/>
    <w:rsid w:val="009D020F"/>
    <w:rsid w:val="009D26B9"/>
    <w:rsid w:val="009D3A02"/>
    <w:rsid w:val="009D7F29"/>
    <w:rsid w:val="009E1769"/>
    <w:rsid w:val="009E2446"/>
    <w:rsid w:val="009E6433"/>
    <w:rsid w:val="009F1760"/>
    <w:rsid w:val="009F3052"/>
    <w:rsid w:val="009F3A94"/>
    <w:rsid w:val="009F45A2"/>
    <w:rsid w:val="00A03A68"/>
    <w:rsid w:val="00A05BD3"/>
    <w:rsid w:val="00A115E2"/>
    <w:rsid w:val="00A134C7"/>
    <w:rsid w:val="00A17B65"/>
    <w:rsid w:val="00A20016"/>
    <w:rsid w:val="00A2204E"/>
    <w:rsid w:val="00A225B5"/>
    <w:rsid w:val="00A23606"/>
    <w:rsid w:val="00A262F3"/>
    <w:rsid w:val="00A27CAB"/>
    <w:rsid w:val="00A3087E"/>
    <w:rsid w:val="00A30B18"/>
    <w:rsid w:val="00A318CD"/>
    <w:rsid w:val="00A32DE8"/>
    <w:rsid w:val="00A36DE2"/>
    <w:rsid w:val="00A37729"/>
    <w:rsid w:val="00A37BEA"/>
    <w:rsid w:val="00A41A41"/>
    <w:rsid w:val="00A44B87"/>
    <w:rsid w:val="00A50A89"/>
    <w:rsid w:val="00A53B43"/>
    <w:rsid w:val="00A6000B"/>
    <w:rsid w:val="00A61B42"/>
    <w:rsid w:val="00A70CBB"/>
    <w:rsid w:val="00A71EBE"/>
    <w:rsid w:val="00A75968"/>
    <w:rsid w:val="00A76BC8"/>
    <w:rsid w:val="00A8111E"/>
    <w:rsid w:val="00A8485E"/>
    <w:rsid w:val="00A872D4"/>
    <w:rsid w:val="00A878D6"/>
    <w:rsid w:val="00A87FEB"/>
    <w:rsid w:val="00A9103B"/>
    <w:rsid w:val="00A91AA0"/>
    <w:rsid w:val="00A921F3"/>
    <w:rsid w:val="00A93E7B"/>
    <w:rsid w:val="00A96B36"/>
    <w:rsid w:val="00AA0FBC"/>
    <w:rsid w:val="00AA3E61"/>
    <w:rsid w:val="00AA52CB"/>
    <w:rsid w:val="00AB5BF6"/>
    <w:rsid w:val="00AB70F7"/>
    <w:rsid w:val="00AC1602"/>
    <w:rsid w:val="00AC4E12"/>
    <w:rsid w:val="00AC5A93"/>
    <w:rsid w:val="00AC77F2"/>
    <w:rsid w:val="00AC7F5D"/>
    <w:rsid w:val="00AD0217"/>
    <w:rsid w:val="00AD7544"/>
    <w:rsid w:val="00AD76D9"/>
    <w:rsid w:val="00AE04D7"/>
    <w:rsid w:val="00AE28B9"/>
    <w:rsid w:val="00AE2DA1"/>
    <w:rsid w:val="00AE3BF2"/>
    <w:rsid w:val="00AE4D64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6E42"/>
    <w:rsid w:val="00B071E2"/>
    <w:rsid w:val="00B074D2"/>
    <w:rsid w:val="00B12A98"/>
    <w:rsid w:val="00B146B5"/>
    <w:rsid w:val="00B320D7"/>
    <w:rsid w:val="00B321B3"/>
    <w:rsid w:val="00B33B2E"/>
    <w:rsid w:val="00B35483"/>
    <w:rsid w:val="00B37673"/>
    <w:rsid w:val="00B405D2"/>
    <w:rsid w:val="00B5002C"/>
    <w:rsid w:val="00B533CB"/>
    <w:rsid w:val="00B54875"/>
    <w:rsid w:val="00B56E4D"/>
    <w:rsid w:val="00B62CFA"/>
    <w:rsid w:val="00B6333D"/>
    <w:rsid w:val="00B636AF"/>
    <w:rsid w:val="00B63D36"/>
    <w:rsid w:val="00B64DB2"/>
    <w:rsid w:val="00B77572"/>
    <w:rsid w:val="00B814DA"/>
    <w:rsid w:val="00B848F9"/>
    <w:rsid w:val="00B91AA1"/>
    <w:rsid w:val="00B9253D"/>
    <w:rsid w:val="00B926BE"/>
    <w:rsid w:val="00B92DB8"/>
    <w:rsid w:val="00B9592F"/>
    <w:rsid w:val="00B96F9A"/>
    <w:rsid w:val="00BA0005"/>
    <w:rsid w:val="00BA0565"/>
    <w:rsid w:val="00BA27E1"/>
    <w:rsid w:val="00BA3512"/>
    <w:rsid w:val="00BA4CDA"/>
    <w:rsid w:val="00BB17AE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245F"/>
    <w:rsid w:val="00BF112F"/>
    <w:rsid w:val="00BF2D7E"/>
    <w:rsid w:val="00BF34EB"/>
    <w:rsid w:val="00BF6201"/>
    <w:rsid w:val="00C010CD"/>
    <w:rsid w:val="00C06B49"/>
    <w:rsid w:val="00C101F5"/>
    <w:rsid w:val="00C118F8"/>
    <w:rsid w:val="00C136E8"/>
    <w:rsid w:val="00C14A3B"/>
    <w:rsid w:val="00C158BD"/>
    <w:rsid w:val="00C21410"/>
    <w:rsid w:val="00C217B1"/>
    <w:rsid w:val="00C2312D"/>
    <w:rsid w:val="00C23976"/>
    <w:rsid w:val="00C25D28"/>
    <w:rsid w:val="00C25FE0"/>
    <w:rsid w:val="00C26BC2"/>
    <w:rsid w:val="00C312F2"/>
    <w:rsid w:val="00C33572"/>
    <w:rsid w:val="00C349A2"/>
    <w:rsid w:val="00C34E2D"/>
    <w:rsid w:val="00C41803"/>
    <w:rsid w:val="00C4228B"/>
    <w:rsid w:val="00C46817"/>
    <w:rsid w:val="00C47EBD"/>
    <w:rsid w:val="00C51680"/>
    <w:rsid w:val="00C52F0B"/>
    <w:rsid w:val="00C535AE"/>
    <w:rsid w:val="00C605E6"/>
    <w:rsid w:val="00C649AE"/>
    <w:rsid w:val="00C659FB"/>
    <w:rsid w:val="00C65CA5"/>
    <w:rsid w:val="00C70641"/>
    <w:rsid w:val="00C71672"/>
    <w:rsid w:val="00C7258D"/>
    <w:rsid w:val="00C72DDA"/>
    <w:rsid w:val="00C7340A"/>
    <w:rsid w:val="00C740D2"/>
    <w:rsid w:val="00C82172"/>
    <w:rsid w:val="00C82C3E"/>
    <w:rsid w:val="00C83920"/>
    <w:rsid w:val="00C84755"/>
    <w:rsid w:val="00C87761"/>
    <w:rsid w:val="00C9149B"/>
    <w:rsid w:val="00C9244F"/>
    <w:rsid w:val="00CA224E"/>
    <w:rsid w:val="00CA7425"/>
    <w:rsid w:val="00CB03A8"/>
    <w:rsid w:val="00CB0E6A"/>
    <w:rsid w:val="00CB19ED"/>
    <w:rsid w:val="00CB1AFA"/>
    <w:rsid w:val="00CB1F90"/>
    <w:rsid w:val="00CB4200"/>
    <w:rsid w:val="00CB6204"/>
    <w:rsid w:val="00CB6B10"/>
    <w:rsid w:val="00CC0419"/>
    <w:rsid w:val="00CC1177"/>
    <w:rsid w:val="00CC330F"/>
    <w:rsid w:val="00CD270E"/>
    <w:rsid w:val="00CD724A"/>
    <w:rsid w:val="00CE0471"/>
    <w:rsid w:val="00CE16CE"/>
    <w:rsid w:val="00CE39EF"/>
    <w:rsid w:val="00CE688F"/>
    <w:rsid w:val="00CF2167"/>
    <w:rsid w:val="00CF3331"/>
    <w:rsid w:val="00D00EDC"/>
    <w:rsid w:val="00D060AE"/>
    <w:rsid w:val="00D068FF"/>
    <w:rsid w:val="00D0723F"/>
    <w:rsid w:val="00D105E6"/>
    <w:rsid w:val="00D122F2"/>
    <w:rsid w:val="00D12DCE"/>
    <w:rsid w:val="00D13052"/>
    <w:rsid w:val="00D14662"/>
    <w:rsid w:val="00D160F1"/>
    <w:rsid w:val="00D217CB"/>
    <w:rsid w:val="00D23550"/>
    <w:rsid w:val="00D278C3"/>
    <w:rsid w:val="00D32A41"/>
    <w:rsid w:val="00D32D85"/>
    <w:rsid w:val="00D3333C"/>
    <w:rsid w:val="00D36F51"/>
    <w:rsid w:val="00D37818"/>
    <w:rsid w:val="00D40977"/>
    <w:rsid w:val="00D4600A"/>
    <w:rsid w:val="00D521B7"/>
    <w:rsid w:val="00D533D0"/>
    <w:rsid w:val="00D56958"/>
    <w:rsid w:val="00D57AE7"/>
    <w:rsid w:val="00D62CBE"/>
    <w:rsid w:val="00D74012"/>
    <w:rsid w:val="00D76FB2"/>
    <w:rsid w:val="00D771A5"/>
    <w:rsid w:val="00D81885"/>
    <w:rsid w:val="00D8284E"/>
    <w:rsid w:val="00D833B7"/>
    <w:rsid w:val="00D83838"/>
    <w:rsid w:val="00D85C12"/>
    <w:rsid w:val="00D85C21"/>
    <w:rsid w:val="00D91103"/>
    <w:rsid w:val="00D9606B"/>
    <w:rsid w:val="00D9631B"/>
    <w:rsid w:val="00D978EC"/>
    <w:rsid w:val="00DA1A66"/>
    <w:rsid w:val="00DA1BDC"/>
    <w:rsid w:val="00DA7CCB"/>
    <w:rsid w:val="00DB03D8"/>
    <w:rsid w:val="00DB1A8C"/>
    <w:rsid w:val="00DB21E6"/>
    <w:rsid w:val="00DB2EAA"/>
    <w:rsid w:val="00DB45B2"/>
    <w:rsid w:val="00DB5E17"/>
    <w:rsid w:val="00DB74DE"/>
    <w:rsid w:val="00DB77F9"/>
    <w:rsid w:val="00DC082D"/>
    <w:rsid w:val="00DC1BD7"/>
    <w:rsid w:val="00DC4FFF"/>
    <w:rsid w:val="00DC5407"/>
    <w:rsid w:val="00DC6525"/>
    <w:rsid w:val="00DC6943"/>
    <w:rsid w:val="00DD050D"/>
    <w:rsid w:val="00DD443C"/>
    <w:rsid w:val="00DD575C"/>
    <w:rsid w:val="00DD6367"/>
    <w:rsid w:val="00DD658E"/>
    <w:rsid w:val="00DE450E"/>
    <w:rsid w:val="00DE4B92"/>
    <w:rsid w:val="00DE4C8A"/>
    <w:rsid w:val="00DE6DA6"/>
    <w:rsid w:val="00DE6E3E"/>
    <w:rsid w:val="00DF14EE"/>
    <w:rsid w:val="00DF29F5"/>
    <w:rsid w:val="00E0297C"/>
    <w:rsid w:val="00E04AD3"/>
    <w:rsid w:val="00E06646"/>
    <w:rsid w:val="00E0762A"/>
    <w:rsid w:val="00E07687"/>
    <w:rsid w:val="00E07F2F"/>
    <w:rsid w:val="00E13D69"/>
    <w:rsid w:val="00E141D7"/>
    <w:rsid w:val="00E14BF9"/>
    <w:rsid w:val="00E22DB7"/>
    <w:rsid w:val="00E279AA"/>
    <w:rsid w:val="00E27CE7"/>
    <w:rsid w:val="00E40C6C"/>
    <w:rsid w:val="00E41B29"/>
    <w:rsid w:val="00E424CD"/>
    <w:rsid w:val="00E45845"/>
    <w:rsid w:val="00E47864"/>
    <w:rsid w:val="00E478EE"/>
    <w:rsid w:val="00E51159"/>
    <w:rsid w:val="00E54146"/>
    <w:rsid w:val="00E5560A"/>
    <w:rsid w:val="00E60401"/>
    <w:rsid w:val="00E6059C"/>
    <w:rsid w:val="00E6138B"/>
    <w:rsid w:val="00E61E48"/>
    <w:rsid w:val="00E629E9"/>
    <w:rsid w:val="00E668C4"/>
    <w:rsid w:val="00E70E13"/>
    <w:rsid w:val="00E7424E"/>
    <w:rsid w:val="00E74EC0"/>
    <w:rsid w:val="00E75697"/>
    <w:rsid w:val="00E75898"/>
    <w:rsid w:val="00E759B2"/>
    <w:rsid w:val="00E766C3"/>
    <w:rsid w:val="00E779B4"/>
    <w:rsid w:val="00E77AAC"/>
    <w:rsid w:val="00E807DD"/>
    <w:rsid w:val="00E829DC"/>
    <w:rsid w:val="00E83778"/>
    <w:rsid w:val="00E837B2"/>
    <w:rsid w:val="00E83E6B"/>
    <w:rsid w:val="00E83E79"/>
    <w:rsid w:val="00E84099"/>
    <w:rsid w:val="00E93A47"/>
    <w:rsid w:val="00E94BD7"/>
    <w:rsid w:val="00E95619"/>
    <w:rsid w:val="00EA1794"/>
    <w:rsid w:val="00EA17FD"/>
    <w:rsid w:val="00EA2220"/>
    <w:rsid w:val="00EA234C"/>
    <w:rsid w:val="00EA35CE"/>
    <w:rsid w:val="00EA4725"/>
    <w:rsid w:val="00EB08DB"/>
    <w:rsid w:val="00EB16F4"/>
    <w:rsid w:val="00EB1D50"/>
    <w:rsid w:val="00EB57A5"/>
    <w:rsid w:val="00EB75FD"/>
    <w:rsid w:val="00EC1ED7"/>
    <w:rsid w:val="00EC5EB0"/>
    <w:rsid w:val="00EC6914"/>
    <w:rsid w:val="00EC7147"/>
    <w:rsid w:val="00EC755C"/>
    <w:rsid w:val="00ED240F"/>
    <w:rsid w:val="00ED7532"/>
    <w:rsid w:val="00EE37A7"/>
    <w:rsid w:val="00EE420A"/>
    <w:rsid w:val="00EE73F2"/>
    <w:rsid w:val="00EE7B5E"/>
    <w:rsid w:val="00EF152B"/>
    <w:rsid w:val="00EF154A"/>
    <w:rsid w:val="00EF22E0"/>
    <w:rsid w:val="00EF30C7"/>
    <w:rsid w:val="00EF34D4"/>
    <w:rsid w:val="00F010D5"/>
    <w:rsid w:val="00F020E6"/>
    <w:rsid w:val="00F03190"/>
    <w:rsid w:val="00F075E5"/>
    <w:rsid w:val="00F10E07"/>
    <w:rsid w:val="00F12C74"/>
    <w:rsid w:val="00F12E6F"/>
    <w:rsid w:val="00F14CD2"/>
    <w:rsid w:val="00F14F3F"/>
    <w:rsid w:val="00F15B6A"/>
    <w:rsid w:val="00F176F0"/>
    <w:rsid w:val="00F2283E"/>
    <w:rsid w:val="00F24686"/>
    <w:rsid w:val="00F252A5"/>
    <w:rsid w:val="00F26209"/>
    <w:rsid w:val="00F27625"/>
    <w:rsid w:val="00F31D96"/>
    <w:rsid w:val="00F343A8"/>
    <w:rsid w:val="00F34991"/>
    <w:rsid w:val="00F40CE4"/>
    <w:rsid w:val="00F42127"/>
    <w:rsid w:val="00F4360E"/>
    <w:rsid w:val="00F43951"/>
    <w:rsid w:val="00F45F67"/>
    <w:rsid w:val="00F46790"/>
    <w:rsid w:val="00F467C9"/>
    <w:rsid w:val="00F50FCD"/>
    <w:rsid w:val="00F5251C"/>
    <w:rsid w:val="00F54448"/>
    <w:rsid w:val="00F571D4"/>
    <w:rsid w:val="00F57503"/>
    <w:rsid w:val="00F6019C"/>
    <w:rsid w:val="00F648D2"/>
    <w:rsid w:val="00F64944"/>
    <w:rsid w:val="00F7654B"/>
    <w:rsid w:val="00F80CCA"/>
    <w:rsid w:val="00F816D5"/>
    <w:rsid w:val="00F81C4D"/>
    <w:rsid w:val="00F822ED"/>
    <w:rsid w:val="00F8255F"/>
    <w:rsid w:val="00F84E5F"/>
    <w:rsid w:val="00FA0B2D"/>
    <w:rsid w:val="00FA0EA4"/>
    <w:rsid w:val="00FA14A4"/>
    <w:rsid w:val="00FA14D9"/>
    <w:rsid w:val="00FA611F"/>
    <w:rsid w:val="00FA793C"/>
    <w:rsid w:val="00FB0BC9"/>
    <w:rsid w:val="00FB1879"/>
    <w:rsid w:val="00FB3D64"/>
    <w:rsid w:val="00FB6959"/>
    <w:rsid w:val="00FB7144"/>
    <w:rsid w:val="00FC414F"/>
    <w:rsid w:val="00FC673A"/>
    <w:rsid w:val="00FD0A29"/>
    <w:rsid w:val="00FD0F78"/>
    <w:rsid w:val="00FD4146"/>
    <w:rsid w:val="00FD6A5B"/>
    <w:rsid w:val="00FD6E40"/>
    <w:rsid w:val="00FD6EB7"/>
    <w:rsid w:val="00FD7644"/>
    <w:rsid w:val="00FE1FDC"/>
    <w:rsid w:val="00FE344A"/>
    <w:rsid w:val="00FE65EA"/>
    <w:rsid w:val="00FF0126"/>
    <w:rsid w:val="00FF0E8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1CC95"/>
  <w15:chartTrackingRefBased/>
  <w15:docId w15:val="{B1BE9EF7-81CA-4631-A638-9537284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C9"/>
    <w:rPr>
      <w:sz w:val="18"/>
      <w:szCs w:val="18"/>
      <w:lang w:val="nb-NO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8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8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8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qFormat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qFormat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qFormat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qFormat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6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7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rsid w:val="0085798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8579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57982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8579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57982"/>
    <w:rPr>
      <w:b/>
      <w:bCs/>
      <w:lang w:val="nb-NO"/>
    </w:rPr>
  </w:style>
  <w:style w:type="paragraph" w:styleId="Revisjon">
    <w:name w:val="Revision"/>
    <w:hidden/>
    <w:uiPriority w:val="99"/>
    <w:semiHidden/>
    <w:rsid w:val="004442BC"/>
    <w:rPr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-overview/post-authorisation/pharmacovigilance-post-authorisation/signal-management/prac-recommendations-safety-sign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FFA10-1E2A-4441-9BF1-5AC80D54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91FB6-9190-4414-BAAA-B7CC63A1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product information wording - Sep 2024_EN</vt:lpstr>
      <vt:lpstr>New product information wording - Sep 2024_EN</vt:lpstr>
    </vt:vector>
  </TitlesOfParts>
  <Company>European Medicines Agency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Sep 2024_EN</dc:title>
  <dc:creator>Cappelli Benedicte</dc:creator>
  <dc:description>Template version: 8 August 2014</dc:description>
  <cp:lastModifiedBy>Camilla Nguyen</cp:lastModifiedBy>
  <cp:revision>135</cp:revision>
  <cp:lastPrinted>2017-01-19T12:32:00Z</cp:lastPrinted>
  <dcterms:created xsi:type="dcterms:W3CDTF">2025-09-09T07:11:00Z</dcterms:created>
  <dcterms:modified xsi:type="dcterms:W3CDTF">2025-09-22T13:06:00Z</dcterms:modified>
</cp:coreProperties>
</file>